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outlineLvl w:val="0"/>
        <w:rPr>
          <w:rFonts w:ascii="黑体" w:hAnsi="黑体" w:eastAsia="黑体" w:cs="黑体"/>
          <w:b/>
          <w:color w:val="auto"/>
          <w:kern w:val="2"/>
          <w:sz w:val="36"/>
          <w:szCs w:val="36"/>
        </w:rPr>
      </w:pPr>
      <w:bookmarkStart w:id="0" w:name="_GoBack"/>
      <w:bookmarkEnd w:id="0"/>
      <w:r>
        <w:rPr>
          <w:rFonts w:hint="eastAsia" w:ascii="黑体" w:hAnsi="黑体" w:eastAsia="黑体" w:cs="黑体"/>
          <w:b/>
          <w:color w:val="auto"/>
          <w:kern w:val="2"/>
          <w:sz w:val="36"/>
          <w:szCs w:val="36"/>
          <w:lang w:eastAsia="zh-CN"/>
        </w:rPr>
        <w:t>护理学院</w:t>
      </w:r>
      <w:r>
        <w:rPr>
          <w:rFonts w:hint="eastAsia" w:ascii="黑体" w:hAnsi="黑体" w:eastAsia="黑体" w:cs="黑体"/>
          <w:b/>
          <w:color w:val="auto"/>
          <w:kern w:val="2"/>
          <w:sz w:val="36"/>
          <w:szCs w:val="36"/>
        </w:rPr>
        <w:t>教师课外育人工作考核办法实施细则</w:t>
      </w:r>
    </w:p>
    <w:p>
      <w:pPr>
        <w:pStyle w:val="35"/>
        <w:jc w:val="center"/>
        <w:rPr>
          <w:rFonts w:eastAsia="仿宋"/>
          <w:sz w:val="28"/>
          <w:szCs w:val="28"/>
        </w:rPr>
      </w:pPr>
      <w:r>
        <w:rPr>
          <w:rFonts w:hint="eastAsia" w:eastAsia="仿宋"/>
          <w:sz w:val="28"/>
          <w:szCs w:val="28"/>
        </w:rPr>
        <w:t>（试  行）</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为进一步贯彻落实全国、全省高校思想政治工作会议精神，强化教师在育人工作中的职责和任务，形成“全员育人、全过程育人、全方位育人”的工作格局，现结合</w:t>
      </w:r>
      <w:r>
        <w:rPr>
          <w:rFonts w:hint="eastAsia" w:ascii="仿宋_GB2312" w:hAnsi="仿宋_GB2312" w:eastAsia="仿宋_GB2312" w:cs="仿宋_GB2312"/>
          <w:color w:val="000000"/>
          <w:sz w:val="32"/>
          <w:szCs w:val="32"/>
          <w:lang w:bidi="ar"/>
        </w:rPr>
        <w:t>《杭州师范大学教师课外育人工作考核办法（试行）》及</w:t>
      </w:r>
      <w:r>
        <w:rPr>
          <w:rFonts w:hint="eastAsia" w:ascii="仿宋_GB2312" w:hAnsi="仿宋_GB2312" w:eastAsia="仿宋_GB2312" w:cs="仿宋_GB2312"/>
          <w:color w:val="000000"/>
          <w:sz w:val="32"/>
          <w:szCs w:val="32"/>
          <w:lang w:eastAsia="zh-CN" w:bidi="ar"/>
        </w:rPr>
        <w:t>学院</w:t>
      </w:r>
      <w:r>
        <w:rPr>
          <w:rFonts w:ascii="仿宋_GB2312" w:hAnsi="仿宋_GB2312" w:eastAsia="仿宋_GB2312" w:cs="仿宋_GB2312"/>
          <w:color w:val="000000"/>
          <w:sz w:val="32"/>
          <w:szCs w:val="32"/>
          <w:lang w:bidi="ar"/>
        </w:rPr>
        <w:t>工作实际，特制定本办法。</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一、考核对象</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eastAsia="zh-CN" w:bidi="ar"/>
        </w:rPr>
        <w:t>护理学院</w:t>
      </w:r>
      <w:r>
        <w:rPr>
          <w:rFonts w:ascii="仿宋_GB2312" w:hAnsi="仿宋_GB2312" w:eastAsia="仿宋_GB2312" w:cs="仿宋_GB2312"/>
          <w:color w:val="000000"/>
          <w:sz w:val="32"/>
          <w:szCs w:val="32"/>
          <w:lang w:bidi="ar"/>
        </w:rPr>
        <w:t>在编在岗的全体专任教师、一线专职辅导员和科研人员。</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二、考核内容</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（一）学生班主任；</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（二）兼职辅导员；</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（三）本科学生综合导师；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（四）研究生导师；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（五）学生党支部书记；</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（六）学生社团指导教师；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（七）学生社会实践活动指导教师；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（八）学生竞赛活动指导教师；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（九）学生创新创业活动指导教师；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（十）党、团校培训或思政教育专题报告、沙龙等的主讲教师；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（十一）学生非教学活动的评审或指导工作；</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（十二）</w:t>
      </w:r>
      <w:r>
        <w:rPr>
          <w:rFonts w:hint="eastAsia" w:ascii="仿宋_GB2312" w:hAnsi="仿宋_GB2312" w:eastAsia="仿宋_GB2312" w:cs="仿宋_GB2312"/>
          <w:color w:val="000000"/>
          <w:sz w:val="32"/>
          <w:szCs w:val="32"/>
          <w:lang w:eastAsia="zh-CN" w:bidi="ar"/>
        </w:rPr>
        <w:t>学院</w:t>
      </w:r>
      <w:r>
        <w:rPr>
          <w:rFonts w:ascii="仿宋_GB2312" w:hAnsi="仿宋_GB2312" w:eastAsia="仿宋_GB2312" w:cs="仿宋_GB2312"/>
          <w:color w:val="000000"/>
          <w:sz w:val="32"/>
          <w:szCs w:val="32"/>
          <w:lang w:bidi="ar"/>
        </w:rPr>
        <w:t>根据实际需要设定的其他育人工作。</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三、等级设定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教师课外育人工作考核结果分优秀、合格、不合格三个等级，一线专职辅导员按比例单列考核。</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（一）优秀：年度考核育人工作量满 30分，指导学生获突出成绩，学生反响好。比例不超过考核总人数的 20%。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（二）合格：年度考核育人工作量满10 分，工作认真负责。承担公共课程或没有本科学生的学院（部）可根据实际情况适当减轻工作量要求。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（三）不合格：年度考核育人工作量未满 10分，或在育人工作中有不当言行，产生恶劣影响的。</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四、结果使用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（二）教师课外育人工作考核结果作为教师岗位聘任的基本依据之一，同等条件下，育人工作考核优秀的教师优先聘岗，对聘期内 2 次及以上考核不合格的教师，实行降档聘任。</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五、组织实施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（一）教师课外育人工作考核与教师年度考核同时进行，结果纳入教师年度考核。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w:t>
      </w:r>
      <w:r>
        <w:rPr>
          <w:rFonts w:hint="eastAsia" w:ascii="仿宋_GB2312" w:hAnsi="仿宋_GB2312" w:eastAsia="仿宋_GB2312" w:cs="仿宋_GB2312"/>
          <w:color w:val="000000"/>
          <w:sz w:val="32"/>
          <w:szCs w:val="32"/>
          <w:lang w:eastAsia="zh-CN" w:bidi="ar"/>
        </w:rPr>
        <w:t>护理学院</w:t>
      </w:r>
      <w:r>
        <w:rPr>
          <w:rFonts w:hint="eastAsia" w:ascii="仿宋_GB2312" w:hAnsi="仿宋_GB2312" w:eastAsia="仿宋_GB2312" w:cs="仿宋_GB2312"/>
          <w:color w:val="000000"/>
          <w:sz w:val="32"/>
          <w:szCs w:val="32"/>
          <w:lang w:bidi="ar"/>
        </w:rPr>
        <w:t>成立教师课外育人工作考核小组，由</w:t>
      </w:r>
      <w:r>
        <w:rPr>
          <w:rFonts w:hint="eastAsia" w:ascii="仿宋_GB2312" w:hAnsi="仿宋_GB2312" w:eastAsia="仿宋_GB2312" w:cs="仿宋_GB2312"/>
          <w:color w:val="000000"/>
          <w:sz w:val="32"/>
          <w:szCs w:val="32"/>
          <w:lang w:eastAsia="zh-CN" w:bidi="ar"/>
        </w:rPr>
        <w:t>学院</w:t>
      </w:r>
      <w:r>
        <w:rPr>
          <w:rFonts w:hint="eastAsia" w:ascii="仿宋_GB2312" w:hAnsi="仿宋_GB2312" w:eastAsia="仿宋_GB2312" w:cs="仿宋_GB2312"/>
          <w:color w:val="000000"/>
          <w:sz w:val="32"/>
          <w:szCs w:val="32"/>
          <w:lang w:bidi="ar"/>
        </w:rPr>
        <w:t>党委书记任组长，党政办、学科办、教务科、学工办、</w:t>
      </w:r>
      <w:r>
        <w:rPr>
          <w:rFonts w:ascii="仿宋_GB2312" w:hAnsi="仿宋_GB2312" w:eastAsia="仿宋_GB2312" w:cs="仿宋_GB2312"/>
          <w:color w:val="000000"/>
          <w:sz w:val="32"/>
          <w:szCs w:val="32"/>
          <w:lang w:bidi="ar"/>
        </w:rPr>
        <w:t>团委</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工会</w:t>
      </w:r>
      <w:r>
        <w:rPr>
          <w:rFonts w:hint="eastAsia" w:ascii="仿宋_GB2312" w:hAnsi="仿宋_GB2312" w:eastAsia="仿宋_GB2312" w:cs="仿宋_GB2312"/>
          <w:color w:val="000000"/>
          <w:sz w:val="32"/>
          <w:szCs w:val="32"/>
          <w:lang w:bidi="ar"/>
        </w:rPr>
        <w:t>等部门主要负责人组成，办公室设在学工办，具体负责</w:t>
      </w:r>
      <w:r>
        <w:rPr>
          <w:rFonts w:hint="eastAsia" w:ascii="仿宋_GB2312" w:hAnsi="仿宋_GB2312" w:eastAsia="仿宋_GB2312" w:cs="仿宋_GB2312"/>
          <w:color w:val="000000"/>
          <w:sz w:val="32"/>
          <w:szCs w:val="32"/>
          <w:lang w:eastAsia="zh-CN" w:bidi="ar"/>
        </w:rPr>
        <w:t>学院</w:t>
      </w:r>
      <w:r>
        <w:rPr>
          <w:rFonts w:hint="eastAsia" w:ascii="仿宋_GB2312" w:hAnsi="仿宋_GB2312" w:eastAsia="仿宋_GB2312" w:cs="仿宋_GB2312"/>
          <w:color w:val="000000"/>
          <w:sz w:val="32"/>
          <w:szCs w:val="32"/>
          <w:lang w:bidi="ar"/>
        </w:rPr>
        <w:t xml:space="preserve">教师的育人工作考核。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（三）本办法自发布之日起实施，由学工办负责解释。</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pStyle w:val="4"/>
        <w:widowControl/>
        <w:snapToGrid w:val="0"/>
        <w:spacing w:before="0" w:beforeAutospacing="0" w:after="0" w:afterAutospacing="0" w:line="540" w:lineRule="exact"/>
        <w:rPr>
          <w:rFonts w:ascii="楷体" w:hAnsi="楷体" w:eastAsia="楷体" w:cs="仿宋_GB2312"/>
          <w:color w:val="000000"/>
          <w:sz w:val="32"/>
          <w:szCs w:val="32"/>
          <w:lang w:bidi="ar"/>
        </w:rPr>
      </w:pPr>
      <w:r>
        <w:rPr>
          <w:rFonts w:hint="eastAsia" w:ascii="楷体" w:hAnsi="楷体" w:eastAsia="楷体" w:cs="仿宋_GB2312"/>
          <w:color w:val="000000"/>
          <w:sz w:val="32"/>
          <w:szCs w:val="32"/>
          <w:lang w:bidi="ar"/>
        </w:rPr>
        <w:t>附件：</w:t>
      </w:r>
      <w:r>
        <w:rPr>
          <w:rFonts w:hint="eastAsia" w:ascii="楷体" w:hAnsi="楷体" w:eastAsia="楷体" w:cs="仿宋_GB2312"/>
          <w:color w:val="000000"/>
          <w:sz w:val="32"/>
          <w:szCs w:val="32"/>
          <w:lang w:eastAsia="zh-CN" w:bidi="ar"/>
        </w:rPr>
        <w:t>护理学院</w:t>
      </w:r>
      <w:r>
        <w:rPr>
          <w:rFonts w:hint="eastAsia" w:ascii="楷体" w:hAnsi="楷体" w:eastAsia="楷体" w:cs="仿宋_GB2312"/>
          <w:color w:val="000000"/>
          <w:sz w:val="32"/>
          <w:szCs w:val="32"/>
          <w:lang w:bidi="ar"/>
        </w:rPr>
        <w:t>课外育人工作工作量计算及考核要求</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中共杭州师范大学</w:t>
      </w:r>
      <w:r>
        <w:rPr>
          <w:rFonts w:hint="eastAsia" w:ascii="仿宋" w:hAnsi="仿宋" w:eastAsia="仿宋"/>
          <w:bCs/>
          <w:kern w:val="0"/>
          <w:sz w:val="32"/>
          <w:szCs w:val="32"/>
          <w:lang w:eastAsia="zh-CN"/>
        </w:rPr>
        <w:t>护理学院</w:t>
      </w:r>
      <w:r>
        <w:rPr>
          <w:rFonts w:hint="eastAsia" w:ascii="仿宋" w:hAnsi="仿宋" w:eastAsia="仿宋"/>
          <w:bCs/>
          <w:kern w:val="0"/>
          <w:sz w:val="32"/>
          <w:szCs w:val="32"/>
        </w:rPr>
        <w:t>委员会</w:t>
      </w:r>
    </w:p>
    <w:p>
      <w:pPr>
        <w:widowControl/>
        <w:wordWrap w:val="0"/>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杭州师范大学</w:t>
      </w:r>
      <w:r>
        <w:rPr>
          <w:rFonts w:hint="eastAsia" w:ascii="仿宋" w:hAnsi="仿宋" w:eastAsia="仿宋"/>
          <w:bCs/>
          <w:kern w:val="0"/>
          <w:sz w:val="32"/>
          <w:szCs w:val="32"/>
          <w:lang w:eastAsia="zh-CN"/>
        </w:rPr>
        <w:t>护理学院</w:t>
      </w:r>
      <w:r>
        <w:rPr>
          <w:rFonts w:hint="eastAsia" w:ascii="仿宋" w:hAnsi="仿宋" w:eastAsia="仿宋"/>
          <w:bCs/>
          <w:kern w:val="0"/>
          <w:sz w:val="32"/>
          <w:szCs w:val="32"/>
        </w:rPr>
        <w:t xml:space="preserve">  </w:t>
      </w:r>
    </w:p>
    <w:p>
      <w:pPr>
        <w:widowControl/>
        <w:wordWrap w:val="0"/>
        <w:spacing w:line="540" w:lineRule="exact"/>
        <w:ind w:firstLine="640" w:firstLineChars="200"/>
        <w:jc w:val="right"/>
        <w:rPr>
          <w:rFonts w:ascii="黑体" w:hAnsi="黑体" w:eastAsia="黑体"/>
          <w:kern w:val="0"/>
          <w:sz w:val="32"/>
          <w:szCs w:val="32"/>
        </w:rPr>
      </w:pPr>
      <w:r>
        <w:rPr>
          <w:rFonts w:hint="eastAsia" w:ascii="仿宋" w:hAnsi="仿宋" w:eastAsia="仿宋"/>
          <w:bCs/>
          <w:kern w:val="0"/>
          <w:sz w:val="32"/>
          <w:szCs w:val="32"/>
          <w:lang w:eastAsia="zh-CN"/>
        </w:rPr>
        <w:t>2021</w:t>
      </w:r>
      <w:r>
        <w:rPr>
          <w:rFonts w:hint="eastAsia" w:ascii="仿宋" w:hAnsi="仿宋" w:eastAsia="仿宋"/>
          <w:bCs/>
          <w:kern w:val="0"/>
          <w:sz w:val="32"/>
          <w:szCs w:val="32"/>
        </w:rPr>
        <w:t xml:space="preserve">年10月30日   </w:t>
      </w:r>
    </w:p>
    <w:p>
      <w:pPr>
        <w:pStyle w:val="35"/>
        <w:spacing w:line="360" w:lineRule="auto"/>
        <w:rPr>
          <w:rFonts w:ascii="黑体" w:eastAsia="黑体" w:cs="黑体"/>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黑体" w:eastAsia="黑体" w:cs="黑体"/>
          <w:color w:val="000000" w:themeColor="text1"/>
          <w14:textFill>
            <w14:solidFill>
              <w14:schemeClr w14:val="tx1"/>
            </w14:solidFill>
          </w14:textFill>
        </w:rPr>
        <w:t xml:space="preserve"> </w:t>
      </w:r>
    </w:p>
    <w:p>
      <w:pPr>
        <w:pStyle w:val="35"/>
        <w:spacing w:line="360" w:lineRule="auto"/>
        <w:rPr>
          <w:rFonts w:ascii="黑体" w:eastAsia="黑体" w:cs="黑体"/>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spacing w:line="360" w:lineRule="auto"/>
        <w:jc w:val="left"/>
        <w:outlineLvl w:val="1"/>
        <w:rPr>
          <w:rFonts w:ascii="仿宋" w:hAnsi="仿宋" w:eastAsia="仿宋"/>
          <w:b/>
          <w:sz w:val="32"/>
          <w:szCs w:val="31"/>
        </w:rPr>
      </w:pPr>
      <w:r>
        <w:rPr>
          <w:rFonts w:hint="eastAsia" w:ascii="仿宋" w:hAnsi="仿宋" w:eastAsia="仿宋"/>
          <w:b/>
          <w:sz w:val="32"/>
          <w:szCs w:val="31"/>
        </w:rPr>
        <w:t>附件：</w:t>
      </w:r>
    </w:p>
    <w:p>
      <w:pPr>
        <w:spacing w:line="360" w:lineRule="auto"/>
        <w:jc w:val="center"/>
        <w:outlineLvl w:val="0"/>
        <w:rPr>
          <w:rFonts w:ascii="黑体" w:hAnsi="黑体" w:eastAsia="黑体"/>
          <w:b/>
          <w:sz w:val="36"/>
          <w:szCs w:val="31"/>
        </w:rPr>
      </w:pPr>
      <w:r>
        <w:rPr>
          <w:rFonts w:hint="eastAsia" w:ascii="黑体" w:hAnsi="黑体" w:eastAsia="黑体"/>
          <w:b/>
          <w:sz w:val="36"/>
          <w:szCs w:val="31"/>
          <w:lang w:eastAsia="zh-CN"/>
        </w:rPr>
        <w:t>护理学院</w:t>
      </w:r>
      <w:r>
        <w:rPr>
          <w:rFonts w:hint="eastAsia" w:ascii="黑体" w:hAnsi="黑体" w:eastAsia="黑体"/>
          <w:b/>
          <w:sz w:val="36"/>
          <w:szCs w:val="31"/>
        </w:rPr>
        <w:t>课外育人工作</w:t>
      </w:r>
      <w:r>
        <w:rPr>
          <w:rFonts w:ascii="黑体" w:hAnsi="黑体" w:eastAsia="黑体"/>
          <w:b/>
          <w:sz w:val="36"/>
          <w:szCs w:val="31"/>
        </w:rPr>
        <w:t>工作量</w:t>
      </w:r>
      <w:r>
        <w:rPr>
          <w:rFonts w:hint="eastAsia" w:ascii="黑体" w:hAnsi="黑体" w:eastAsia="黑体"/>
          <w:b/>
          <w:sz w:val="36"/>
          <w:szCs w:val="31"/>
        </w:rPr>
        <w:t>计算及</w:t>
      </w:r>
      <w:r>
        <w:rPr>
          <w:rFonts w:ascii="黑体" w:hAnsi="黑体" w:eastAsia="黑体"/>
          <w:b/>
          <w:sz w:val="36"/>
          <w:szCs w:val="31"/>
        </w:rPr>
        <w:t>考核要求</w:t>
      </w:r>
    </w:p>
    <w:tbl>
      <w:tblPr>
        <w:tblStyle w:val="5"/>
        <w:tblpPr w:leftFromText="180" w:rightFromText="180" w:vertAnchor="text" w:tblpXSpec="center" w:tblpY="1"/>
        <w:tblOverlap w:val="never"/>
        <w:tblW w:w="15120" w:type="dxa"/>
        <w:tblInd w:w="0" w:type="dxa"/>
        <w:tblLayout w:type="fixed"/>
        <w:tblCellMar>
          <w:top w:w="0" w:type="dxa"/>
          <w:left w:w="108" w:type="dxa"/>
          <w:bottom w:w="0" w:type="dxa"/>
          <w:right w:w="108" w:type="dxa"/>
        </w:tblCellMar>
      </w:tblPr>
      <w:tblGrid>
        <w:gridCol w:w="1080"/>
        <w:gridCol w:w="1080"/>
        <w:gridCol w:w="3060"/>
        <w:gridCol w:w="1080"/>
        <w:gridCol w:w="3420"/>
        <w:gridCol w:w="1080"/>
        <w:gridCol w:w="1080"/>
        <w:gridCol w:w="1080"/>
        <w:gridCol w:w="1080"/>
        <w:gridCol w:w="1080"/>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类别</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选聘要求</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等级</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考核要求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分数</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数据来源和主考部门</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177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班主任</w:t>
            </w:r>
          </w:p>
        </w:tc>
        <w:tc>
          <w:tcPr>
            <w:tcW w:w="3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学院推荐相结合，具体以当年《</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班主任招聘通知》为准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优秀</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班主任管理办法》中对班主任的各项工作要求；学生满意度评价在90分以上，学年班主任考核成绩为“优秀”。</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25</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《杭州师范大学</w:t>
            </w:r>
            <w:r>
              <w:rPr>
                <w:rFonts w:hint="eastAsia" w:cs="宋体" w:asciiTheme="minorEastAsia" w:hAnsiTheme="minorEastAsia"/>
                <w:kern w:val="0"/>
                <w:sz w:val="22"/>
                <w:lang w:eastAsia="zh-CN"/>
              </w:rPr>
              <w:t>护理学院</w:t>
            </w:r>
            <w:r>
              <w:rPr>
                <w:rFonts w:hint="eastAsia" w:cs="宋体" w:asciiTheme="minorEastAsia" w:hAnsiTheme="minorEastAsia"/>
                <w:kern w:val="0"/>
                <w:sz w:val="22"/>
              </w:rPr>
              <w:t>班主任管理办法》</w:t>
            </w:r>
          </w:p>
        </w:tc>
      </w:tr>
      <w:tr>
        <w:tblPrEx>
          <w:tblCellMar>
            <w:top w:w="0" w:type="dxa"/>
            <w:left w:w="108" w:type="dxa"/>
            <w:bottom w:w="0" w:type="dxa"/>
            <w:right w:w="108" w:type="dxa"/>
          </w:tblCellMar>
        </w:tblPrEx>
        <w:trPr>
          <w:trHeight w:val="163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良好</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能基本完成《杭州师范大学</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班主任管理办法》中对班主任的各项工作要求；学生满意度评价在80分以上，每学期班主任考核成绩“良好”及以上。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17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能完成《杭州师范大学</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班主任管理办法》中对班主任的大部分工作要求；学生满意度评价在70分以上，学年班主任考核成绩为“合格”及以上且至少有一个学期为“良好”及以上。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15</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4002"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兼职辅导员</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利用业余时间开展学生工作。自主报名与党委推荐相结合，具体以当年《</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兼职辅导员招聘通知》为准</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能较好地完成《杭州师范大学兼职辅导员管理办法》中对兼职辅导员的各项工作要求。</w:t>
            </w:r>
          </w:p>
        </w:tc>
        <w:tc>
          <w:tcPr>
            <w:tcW w:w="3240"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《杭州师范大学兼职辅导员管理办法》</w:t>
            </w:r>
          </w:p>
        </w:tc>
      </w:tr>
      <w:tr>
        <w:tblPrEx>
          <w:tblCellMar>
            <w:top w:w="0" w:type="dxa"/>
            <w:left w:w="108" w:type="dxa"/>
            <w:bottom w:w="0" w:type="dxa"/>
            <w:right w:w="108" w:type="dxa"/>
          </w:tblCellMar>
        </w:tblPrEx>
        <w:trPr>
          <w:trHeight w:val="3418" w:hRule="atLeast"/>
        </w:trPr>
        <w:tc>
          <w:tcPr>
            <w:tcW w:w="1080" w:type="dxa"/>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本科生综合导师</w:t>
            </w:r>
          </w:p>
        </w:tc>
        <w:tc>
          <w:tcPr>
            <w:tcW w:w="306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学生的性格、兴趣、人格特质、生活与家庭状况，引导学生身心健康发展、培养健全人格，及时为经济、学习、心理等方面有困难的学生提供帮助，并主动与班主任、辅导员保持联系，积极协作。具体以当年《</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本科生综合导师招聘通知》为准。</w:t>
            </w:r>
            <w:r>
              <w:rPr>
                <w:rFonts w:hint="eastAsia" w:cs="宋体" w:asciiTheme="minorEastAsia" w:hAnsiTheme="minorEastAsia"/>
                <w:kern w:val="0"/>
                <w:sz w:val="22"/>
              </w:rPr>
              <w:t>原则上每位导师指导学生不超过12人。</w:t>
            </w:r>
          </w:p>
        </w:tc>
        <w:tc>
          <w:tcPr>
            <w:tcW w:w="108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每学期至少指导每个学生不少于4次。</w:t>
            </w:r>
          </w:p>
        </w:tc>
        <w:tc>
          <w:tcPr>
            <w:tcW w:w="324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4" w:space="0"/>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9"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vAlign w:val="center"/>
          </w:tcPr>
          <w:p>
            <w:pPr>
              <w:jc w:val="center"/>
              <w:rPr>
                <w:rFonts w:cs="宋体" w:asciiTheme="minorEastAsia" w:hAnsiTheme="minorEastAsia"/>
                <w:color w:val="000000"/>
                <w:kern w:val="0"/>
                <w:sz w:val="22"/>
              </w:rPr>
            </w:pPr>
          </w:p>
        </w:tc>
        <w:tc>
          <w:tcPr>
            <w:tcW w:w="306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342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3240" w:type="dxa"/>
            <w:gridSpan w:val="3"/>
            <w:tcBorders>
              <w:top w:val="single" w:color="auto" w:sz="4" w:space="0"/>
              <w:left w:val="nil"/>
              <w:bottom w:val="nil"/>
              <w:right w:val="single" w:color="000000"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nil"/>
            </w:tcBorders>
            <w:shd w:val="clear" w:color="auto" w:fill="auto"/>
            <w:vAlign w:val="center"/>
          </w:tcPr>
          <w:p>
            <w:pPr>
              <w:jc w:val="center"/>
              <w:rPr>
                <w:rFonts w:cs="宋体" w:asciiTheme="minorEastAsia" w:hAnsiTheme="minorEastAsia"/>
                <w:color w:val="000000"/>
                <w:kern w:val="0"/>
                <w:sz w:val="22"/>
              </w:rPr>
            </w:pPr>
          </w:p>
        </w:tc>
        <w:tc>
          <w:tcPr>
            <w:tcW w:w="1080" w:type="dxa"/>
            <w:tcBorders>
              <w:top w:val="single" w:color="auto" w:sz="4" w:space="0"/>
              <w:left w:val="single" w:color="auto" w:sz="8" w:space="0"/>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86"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4</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研究生导师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认真贯彻落实“立德树人” ，坚持把社会主义核心价值体系融入研究生教育全过程。教育研究生坚持正确的政治方向，自觉遵守国家法律和校规校纪，引导研究生树立正确的世界观、人生观与价值观，养成良好的道德品质。研究生导师经个人申请，</w:t>
            </w:r>
            <w:r>
              <w:rPr>
                <w:rFonts w:hint="eastAsia" w:cs="宋体" w:asciiTheme="minorEastAsia" w:hAnsiTheme="minorEastAsia"/>
                <w:color w:val="000000"/>
                <w:kern w:val="0"/>
                <w:sz w:val="22"/>
                <w:lang w:eastAsia="zh-CN"/>
              </w:rPr>
              <w:t>学院</w:t>
            </w:r>
            <w:r>
              <w:rPr>
                <w:rFonts w:hint="eastAsia" w:cs="宋体" w:asciiTheme="minorEastAsia" w:hAnsiTheme="minorEastAsia"/>
                <w:color w:val="000000"/>
                <w:kern w:val="0"/>
                <w:sz w:val="22"/>
              </w:rPr>
              <w:t>学位评定分委员会初选和学校学位评定委员会评定，具体以当年《</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研究生综合导师招聘通知》为准。</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能较好地完成《杭州师范大学研究生指导教师管理办法》及《关于进一步规范</w:t>
            </w:r>
            <w:r>
              <w:rPr>
                <w:rFonts w:hint="eastAsia" w:cs="宋体" w:asciiTheme="minorEastAsia" w:hAnsiTheme="minorEastAsia"/>
                <w:color w:val="000000"/>
                <w:kern w:val="0"/>
                <w:sz w:val="22"/>
                <w:lang w:eastAsia="zh-CN"/>
              </w:rPr>
              <w:t>护理学院</w:t>
            </w:r>
            <w:r>
              <w:rPr>
                <w:rFonts w:hint="eastAsia" w:cs="宋体" w:asciiTheme="minorEastAsia" w:hAnsiTheme="minorEastAsia"/>
                <w:color w:val="000000"/>
                <w:kern w:val="0"/>
                <w:sz w:val="22"/>
              </w:rPr>
              <w:t>研究生培养管理的若干实施意见》中各项工作要求。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学科办</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研工办</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26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学生党支部书记</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中共党员，党龄5年以上，对党忠诚，理想信念坚定，模范遵守党的政治纪律。学生党支部书记根据当年支部设立情况及工作需要，由所在教工支部推荐，党委任命，有党支部工作经验者优先。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恪守师德师风，关爱学生。能及时传达、学习、贯彻上级党组织的决议决定，完成上级党组织安排的各项任务。认真做好组织发展工作，严格按照标准发展党员，程序规范，资料完备。模范践行“两学一做”，按要求执行“三会一课”，认真落实党支部组织生活会制度及党员固定活动日制度。</w:t>
            </w:r>
          </w:p>
        </w:tc>
        <w:tc>
          <w:tcPr>
            <w:tcW w:w="3240"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党政办</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 20分，获校级优秀党支部书记及以上荣誉再加 5 分</w:t>
            </w:r>
          </w:p>
        </w:tc>
      </w:tr>
      <w:tr>
        <w:tblPrEx>
          <w:tblCellMar>
            <w:top w:w="0" w:type="dxa"/>
            <w:left w:w="108" w:type="dxa"/>
            <w:bottom w:w="0" w:type="dxa"/>
            <w:right w:w="108" w:type="dxa"/>
          </w:tblCellMar>
        </w:tblPrEx>
        <w:trPr>
          <w:trHeight w:val="327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帐目；每学期至少参加该社团活动两次，出席与指导社团会员大会的召开和负责人的推选。</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考核合格者，每年度计10分，获学校优秀指导教师或指导的社团获评十佳社团再加 5 分</w:t>
            </w:r>
          </w:p>
        </w:tc>
      </w:tr>
      <w:tr>
        <w:tblPrEx>
          <w:tblCellMar>
            <w:top w:w="0" w:type="dxa"/>
            <w:left w:w="108" w:type="dxa"/>
            <w:bottom w:w="0" w:type="dxa"/>
            <w:right w:w="108" w:type="dxa"/>
          </w:tblCellMar>
        </w:tblPrEx>
        <w:trPr>
          <w:trHeight w:val="250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社会实践指导教师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根据当年校团委社会实践工作要求及</w:t>
            </w:r>
            <w:r>
              <w:rPr>
                <w:rFonts w:hint="eastAsia" w:cs="宋体" w:asciiTheme="minorEastAsia" w:hAnsiTheme="minorEastAsia"/>
                <w:color w:val="000000"/>
                <w:kern w:val="0"/>
                <w:sz w:val="22"/>
                <w:lang w:eastAsia="zh-CN"/>
              </w:rPr>
              <w:t>学院</w:t>
            </w:r>
            <w:r>
              <w:rPr>
                <w:rFonts w:hint="eastAsia" w:cs="宋体" w:asciiTheme="minorEastAsia" w:hAnsiTheme="minorEastAsia"/>
                <w:color w:val="000000"/>
                <w:kern w:val="0"/>
                <w:sz w:val="22"/>
              </w:rPr>
              <w:t>立项情况选聘，自主报名与团委推荐相结合，择优录取。</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2/天+5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教师带队每天计2分。项目获各级荣誉或获评优秀指导教师的增加 5 分</w:t>
            </w:r>
          </w:p>
        </w:tc>
      </w:tr>
      <w:tr>
        <w:tblPrEx>
          <w:tblCellMar>
            <w:top w:w="0" w:type="dxa"/>
            <w:left w:w="108" w:type="dxa"/>
            <w:bottom w:w="0" w:type="dxa"/>
            <w:right w:w="108" w:type="dxa"/>
          </w:tblCellMar>
        </w:tblPrEx>
        <w:trPr>
          <w:trHeight w:val="42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8</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创新创业指导教师</w:t>
            </w:r>
          </w:p>
        </w:tc>
        <w:tc>
          <w:tcPr>
            <w:tcW w:w="3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对学生进行与创新训练有关的创新思维、创新方法、创业训练、项目管理和企业管理等指导。指导教师与学生实行双向选择，最终以当年学校立项情况为准。</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vMerge w:val="restart"/>
            <w:tcBorders>
              <w:top w:val="single" w:color="auto" w:sz="8" w:space="0"/>
              <w:left w:val="single" w:color="auto" w:sz="8" w:space="0"/>
              <w:right w:val="single" w:color="auto" w:sz="8" w:space="0"/>
            </w:tcBorders>
            <w:shd w:val="clear" w:color="auto" w:fill="auto"/>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在指导过程中，注重发挥学生的主动性和创造性，引导学生自主完成研究计划，注重培养学生综合素质。要加强对学生科研成果培育过程的监督与指导，对学生科研成果的观点、论据和实验数据等严格把关，强化学术规范要求，严禁学术腐败，保证成果的独创性,保证学生科研成果质量。需加入</w:t>
            </w:r>
            <w:r>
              <w:rPr>
                <w:rFonts w:hint="eastAsia" w:cs="宋体" w:asciiTheme="minorEastAsia" w:hAnsiTheme="minorEastAsia"/>
                <w:color w:val="000000"/>
                <w:kern w:val="0"/>
                <w:sz w:val="22"/>
                <w:lang w:eastAsia="zh-CN"/>
              </w:rPr>
              <w:t>学院</w:t>
            </w:r>
            <w:r>
              <w:rPr>
                <w:rFonts w:hint="eastAsia" w:cs="宋体" w:asciiTheme="minorEastAsia" w:hAnsiTheme="minorEastAsia"/>
                <w:color w:val="000000"/>
                <w:kern w:val="0"/>
                <w:sz w:val="22"/>
              </w:rPr>
              <w:t>创新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创新创业项目结题</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国家级</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教务科</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项目需按结题要求完成结题</w:t>
            </w: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省级</w:t>
            </w:r>
          </w:p>
        </w:tc>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vMerge w:val="restart"/>
            <w:tcBorders>
              <w:top w:val="nil"/>
              <w:left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校级</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vMerge w:val="continue"/>
            <w:tcBorders>
              <w:left w:val="nil"/>
              <w:bottom w:val="single" w:color="auto" w:sz="4" w:space="0"/>
              <w:right w:val="nil"/>
            </w:tcBorders>
            <w:shd w:val="clear" w:color="auto" w:fill="auto"/>
            <w:vAlign w:val="center"/>
          </w:tcPr>
          <w:p>
            <w:pPr>
              <w:jc w:val="center"/>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国家发明专利</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restart"/>
            <w:tcBorders>
              <w:top w:val="single" w:color="auto" w:sz="4" w:space="0"/>
              <w:left w:val="single" w:color="auto" w:sz="8" w:space="0"/>
              <w:right w:val="nil"/>
            </w:tcBorders>
            <w:shd w:val="clear" w:color="auto" w:fill="auto"/>
            <w:noWrap/>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提供专利证书</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其他专利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核心期刊论文</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restart"/>
            <w:tcBorders>
              <w:top w:val="nil"/>
              <w:left w:val="single" w:color="auto" w:sz="8" w:space="0"/>
              <w:right w:val="single" w:color="auto" w:sz="8" w:space="0"/>
            </w:tcBorders>
            <w:shd w:val="clear" w:color="auto" w:fill="auto"/>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参考学校期刊目录</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bottom w:val="single" w:color="auto" w:sz="4" w:space="0"/>
              <w:right w:val="single" w:color="auto" w:sz="8" w:space="0"/>
            </w:tcBorders>
            <w:vAlign w:val="center"/>
          </w:tcPr>
          <w:p>
            <w:pPr>
              <w:jc w:val="left"/>
              <w:rPr>
                <w:rFonts w:cs="宋体" w:asciiTheme="minorEastAsia" w:hAnsiTheme="minorEastAsia"/>
                <w:color w:val="000000"/>
                <w:kern w:val="0"/>
                <w:sz w:val="22"/>
              </w:rPr>
            </w:pPr>
          </w:p>
        </w:tc>
        <w:tc>
          <w:tcPr>
            <w:tcW w:w="2160"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普通期刊论文</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bottom w:val="single" w:color="auto" w:sz="4" w:space="0"/>
              <w:right w:val="nil"/>
            </w:tcBorders>
            <w:vAlign w:val="center"/>
          </w:tcPr>
          <w:p>
            <w:pPr>
              <w:jc w:val="center"/>
              <w:rPr>
                <w:rFonts w:cs="宋体" w:asciiTheme="minorEastAsia" w:hAnsiTheme="minorEastAsia"/>
                <w:color w:val="000000"/>
                <w:kern w:val="0"/>
                <w:sz w:val="22"/>
              </w:rPr>
            </w:pPr>
          </w:p>
        </w:tc>
        <w:tc>
          <w:tcPr>
            <w:tcW w:w="1080" w:type="dxa"/>
            <w:vMerge w:val="continue"/>
            <w:tcBorders>
              <w:left w:val="single" w:color="auto" w:sz="8" w:space="0"/>
              <w:bottom w:val="single" w:color="auto" w:sz="4" w:space="0"/>
              <w:right w:val="single" w:color="auto" w:sz="8" w:space="0"/>
            </w:tcBorders>
            <w:vAlign w:val="center"/>
          </w:tcPr>
          <w:p>
            <w:pPr>
              <w:jc w:val="center"/>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tcBorders>
              <w:top w:val="single" w:color="auto" w:sz="4" w:space="0"/>
              <w:left w:val="single" w:color="auto" w:sz="8" w:space="0"/>
              <w:bottom w:val="single" w:color="000000" w:sz="8" w:space="0"/>
              <w:right w:val="single" w:color="auto" w:sz="8" w:space="0"/>
            </w:tcBorders>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创业指导教师人才库，每年按要求做好登记。</w:t>
            </w:r>
          </w:p>
        </w:tc>
        <w:tc>
          <w:tcPr>
            <w:tcW w:w="2160" w:type="dxa"/>
            <w:gridSpan w:val="2"/>
            <w:tcBorders>
              <w:top w:val="single" w:color="auto" w:sz="4"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注册企业</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single" w:color="auto" w:sz="8" w:space="0"/>
              <w:bottom w:val="single" w:color="000000" w:sz="8" w:space="0"/>
              <w:right w:val="nil"/>
            </w:tcBorders>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提供营业执照</w:t>
            </w:r>
          </w:p>
        </w:tc>
      </w:tr>
      <w:tr>
        <w:tblPrEx>
          <w:tblCellMar>
            <w:top w:w="0" w:type="dxa"/>
            <w:left w:w="108" w:type="dxa"/>
            <w:bottom w:w="0" w:type="dxa"/>
            <w:right w:w="108" w:type="dxa"/>
          </w:tblCellMar>
        </w:tblPrEx>
        <w:trPr>
          <w:trHeight w:val="2265"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9</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学生竞赛指导教师</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能为学生竞赛活动提供及时、全程、专业的培训和指导。由教务科、学工办等相关部门根据当年竞赛工作实际需要组织并选聘，自主报名与学院推荐相结合，择优录取。</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10/项+5</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教务科</w:t>
            </w:r>
          </w:p>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获省级以上奖项的每个项目增加5分。</w:t>
            </w:r>
          </w:p>
        </w:tc>
      </w:tr>
      <w:tr>
        <w:tblPrEx>
          <w:tblCellMar>
            <w:top w:w="0" w:type="dxa"/>
            <w:left w:w="108" w:type="dxa"/>
            <w:bottom w:w="0" w:type="dxa"/>
            <w:right w:w="108" w:type="dxa"/>
          </w:tblCellMar>
        </w:tblPrEx>
        <w:trPr>
          <w:trHeight w:val="2265"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课外育人课堂主讲教师</w:t>
            </w:r>
          </w:p>
        </w:tc>
        <w:tc>
          <w:tcPr>
            <w:tcW w:w="306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根据当年活动需要组织开展，以自主报名与部门推荐相结合，择优选聘。</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理想信念坚定，恪守师德师风，能及时学习、宣传、贯彻党和国家最新的理论、方针、政策等。担任党校、团校等培训或思政教育专题报告、沙龙活动等主讲教师</w:t>
            </w:r>
          </w:p>
        </w:tc>
        <w:tc>
          <w:tcPr>
            <w:tcW w:w="3240" w:type="dxa"/>
            <w:gridSpan w:val="3"/>
            <w:tcBorders>
              <w:top w:val="single" w:color="auto" w:sz="4" w:space="0"/>
              <w:left w:val="nil"/>
              <w:bottom w:val="nil"/>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3/半天（3课时）</w:t>
            </w:r>
          </w:p>
        </w:tc>
        <w:tc>
          <w:tcPr>
            <w:tcW w:w="1080" w:type="dxa"/>
            <w:tcBorders>
              <w:top w:val="single" w:color="auto" w:sz="4" w:space="0"/>
              <w:left w:val="nil"/>
              <w:bottom w:val="nil"/>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p>
            <w:pPr>
              <w:widowControl/>
              <w:jc w:val="center"/>
              <w:rPr>
                <w:rFonts w:cs="宋体" w:asciiTheme="minorEastAsia" w:hAnsiTheme="minorEastAsia"/>
                <w:kern w:val="0"/>
                <w:sz w:val="22"/>
              </w:rPr>
            </w:pPr>
            <w:r>
              <w:rPr>
                <w:rFonts w:hint="eastAsia" w:cs="宋体" w:asciiTheme="minorEastAsia" w:hAnsiTheme="minorEastAsia"/>
                <w:kern w:val="0"/>
                <w:sz w:val="22"/>
              </w:rPr>
              <w:t>学工办</w:t>
            </w:r>
          </w:p>
          <w:p>
            <w:pPr>
              <w:widowControl/>
              <w:jc w:val="center"/>
              <w:rPr>
                <w:rFonts w:cs="宋体" w:asciiTheme="minorEastAsia" w:hAnsiTheme="minorEastAsia"/>
                <w:kern w:val="0"/>
                <w:sz w:val="22"/>
              </w:rPr>
            </w:pPr>
            <w:r>
              <w:rPr>
                <w:rFonts w:hint="eastAsia" w:cs="宋体" w:asciiTheme="minorEastAsia" w:hAnsiTheme="minorEastAsia"/>
                <w:kern w:val="0"/>
                <w:sz w:val="22"/>
              </w:rPr>
              <w:t>研工办</w:t>
            </w:r>
          </w:p>
          <w:p>
            <w:pPr>
              <w:widowControl/>
              <w:jc w:val="center"/>
              <w:rPr>
                <w:rFonts w:cs="宋体" w:asciiTheme="minorEastAsia" w:hAnsiTheme="minorEastAsia"/>
                <w:kern w:val="0"/>
                <w:sz w:val="22"/>
              </w:rPr>
            </w:pPr>
            <w:r>
              <w:rPr>
                <w:rFonts w:hint="eastAsia" w:cs="宋体" w:asciiTheme="minorEastAsia" w:hAnsiTheme="minorEastAsia"/>
                <w:kern w:val="0"/>
                <w:sz w:val="22"/>
              </w:rPr>
              <w:t>教务科</w:t>
            </w:r>
          </w:p>
        </w:tc>
        <w:tc>
          <w:tcPr>
            <w:tcW w:w="1080" w:type="dxa"/>
            <w:tcBorders>
              <w:top w:val="single" w:color="auto" w:sz="4" w:space="0"/>
              <w:left w:val="single" w:color="auto" w:sz="8" w:space="0"/>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CellMar>
            <w:top w:w="0" w:type="dxa"/>
            <w:left w:w="108" w:type="dxa"/>
            <w:bottom w:w="0" w:type="dxa"/>
            <w:right w:w="108" w:type="dxa"/>
          </w:tblCellMar>
        </w:tblPrEx>
        <w:trPr>
          <w:trHeight w:val="1537"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11</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课外活动指导老师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根据当年活动需要组织开展，担任学生非教学活动评审或辅导工作，以自主报名与部门推荐相结合，择优选聘。</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需具备活动相关的专业背景。指导或评审学生开展各类校园文化活动和素质提升项目等活动</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2/半天</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p>
            <w:pPr>
              <w:widowControl/>
              <w:jc w:val="center"/>
              <w:rPr>
                <w:rFonts w:cs="宋体" w:asciiTheme="minorEastAsia" w:hAnsiTheme="minorEastAsia"/>
                <w:kern w:val="0"/>
                <w:sz w:val="22"/>
              </w:rPr>
            </w:pPr>
            <w:r>
              <w:rPr>
                <w:rFonts w:hint="eastAsia" w:cs="宋体" w:asciiTheme="minorEastAsia" w:hAnsiTheme="minorEastAsia"/>
                <w:kern w:val="0"/>
                <w:sz w:val="22"/>
              </w:rPr>
              <w:t>学工办</w:t>
            </w:r>
          </w:p>
          <w:p>
            <w:pPr>
              <w:widowControl/>
              <w:jc w:val="center"/>
              <w:rPr>
                <w:rFonts w:cs="宋体" w:asciiTheme="minorEastAsia" w:hAnsiTheme="minorEastAsia"/>
                <w:kern w:val="0"/>
                <w:sz w:val="22"/>
              </w:rPr>
            </w:pPr>
            <w:r>
              <w:rPr>
                <w:rFonts w:hint="eastAsia" w:cs="宋体" w:asciiTheme="minorEastAsia" w:hAnsiTheme="minorEastAsia"/>
                <w:kern w:val="0"/>
                <w:sz w:val="22"/>
              </w:rPr>
              <w:t>研工办</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bl>
    <w:p>
      <w:pPr>
        <w:spacing w:line="400" w:lineRule="exact"/>
        <w:rPr>
          <w:b/>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A6F0D"/>
    <w:rsid w:val="00097D63"/>
    <w:rsid w:val="000C0D3B"/>
    <w:rsid w:val="000D3F03"/>
    <w:rsid w:val="000D7968"/>
    <w:rsid w:val="00174987"/>
    <w:rsid w:val="001E64FB"/>
    <w:rsid w:val="001F715E"/>
    <w:rsid w:val="0021055F"/>
    <w:rsid w:val="00231097"/>
    <w:rsid w:val="00267F5A"/>
    <w:rsid w:val="00280EAC"/>
    <w:rsid w:val="003B7351"/>
    <w:rsid w:val="003E0C9A"/>
    <w:rsid w:val="0049108C"/>
    <w:rsid w:val="00537F3B"/>
    <w:rsid w:val="006C3CED"/>
    <w:rsid w:val="00793365"/>
    <w:rsid w:val="008740DD"/>
    <w:rsid w:val="008C23A0"/>
    <w:rsid w:val="008C2B4F"/>
    <w:rsid w:val="00952924"/>
    <w:rsid w:val="00A74B4E"/>
    <w:rsid w:val="00BF08C6"/>
    <w:rsid w:val="00C17263"/>
    <w:rsid w:val="00C57559"/>
    <w:rsid w:val="00D06CCC"/>
    <w:rsid w:val="00DF0CEF"/>
    <w:rsid w:val="00EA694B"/>
    <w:rsid w:val="00ED71E9"/>
    <w:rsid w:val="00F07E4E"/>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AD4B06"/>
    <w:rsid w:val="23CE3A47"/>
    <w:rsid w:val="24C524C0"/>
    <w:rsid w:val="26CB585A"/>
    <w:rsid w:val="29576481"/>
    <w:rsid w:val="300A62A1"/>
    <w:rsid w:val="30696610"/>
    <w:rsid w:val="31175DC2"/>
    <w:rsid w:val="316C69DB"/>
    <w:rsid w:val="34C2296D"/>
    <w:rsid w:val="353F08D9"/>
    <w:rsid w:val="36184B04"/>
    <w:rsid w:val="36900367"/>
    <w:rsid w:val="36904DDD"/>
    <w:rsid w:val="3AF758A7"/>
    <w:rsid w:val="3EF46C6C"/>
    <w:rsid w:val="417C32A4"/>
    <w:rsid w:val="44835E80"/>
    <w:rsid w:val="486F2EEC"/>
    <w:rsid w:val="49CE33D2"/>
    <w:rsid w:val="4C8011A8"/>
    <w:rsid w:val="4D6607DB"/>
    <w:rsid w:val="525A6F0D"/>
    <w:rsid w:val="53463C54"/>
    <w:rsid w:val="54F241F3"/>
    <w:rsid w:val="584734DA"/>
    <w:rsid w:val="5DDF3B89"/>
    <w:rsid w:val="5E530304"/>
    <w:rsid w:val="5F825C78"/>
    <w:rsid w:val="672D7BB8"/>
    <w:rsid w:val="67BC17AC"/>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qFormat/>
    <w:uiPriority w:val="99"/>
    <w:pPr>
      <w:tabs>
        <w:tab w:val="center" w:pos="4153"/>
        <w:tab w:val="right" w:pos="8306"/>
      </w:tabs>
      <w:snapToGrid w:val="0"/>
      <w:jc w:val="left"/>
    </w:pPr>
    <w:rPr>
      <w:sz w:val="18"/>
      <w:szCs w:val="18"/>
    </w:rPr>
  </w:style>
  <w:style w:type="paragraph" w:styleId="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88CC"/>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TML Typewriter"/>
    <w:basedOn w:val="7"/>
    <w:qFormat/>
    <w:uiPriority w:val="0"/>
    <w:rPr>
      <w:rFonts w:hint="default" w:ascii="Consolas" w:hAnsi="Consolas" w:eastAsia="Consolas" w:cs="Consolas"/>
      <w:sz w:val="21"/>
      <w:szCs w:val="21"/>
    </w:rPr>
  </w:style>
  <w:style w:type="character" w:styleId="13">
    <w:name w:val="HTML Acronym"/>
    <w:basedOn w:val="7"/>
    <w:qFormat/>
    <w:uiPriority w:val="0"/>
  </w:style>
  <w:style w:type="character" w:styleId="14">
    <w:name w:val="HTML Variable"/>
    <w:basedOn w:val="7"/>
    <w:qFormat/>
    <w:uiPriority w:val="0"/>
    <w:rPr>
      <w:rFonts w:ascii="Consolas" w:hAnsi="Consolas" w:eastAsia="Consolas" w:cs="Consolas"/>
      <w:i/>
      <w:sz w:val="21"/>
      <w:szCs w:val="21"/>
    </w:rPr>
  </w:style>
  <w:style w:type="character" w:styleId="15">
    <w:name w:val="Hyperlink"/>
    <w:basedOn w:val="7"/>
    <w:qFormat/>
    <w:uiPriority w:val="0"/>
    <w:rPr>
      <w:color w:val="0088CC"/>
      <w:u w:val="none"/>
    </w:rPr>
  </w:style>
  <w:style w:type="character" w:styleId="16">
    <w:name w:val="HTML Code"/>
    <w:basedOn w:val="7"/>
    <w:qFormat/>
    <w:uiPriority w:val="0"/>
    <w:rPr>
      <w:rFonts w:hint="default" w:ascii="Consolas" w:hAnsi="Consolas" w:eastAsia="Consolas" w:cs="Consolas"/>
      <w:sz w:val="21"/>
      <w:szCs w:val="21"/>
    </w:rPr>
  </w:style>
  <w:style w:type="character" w:styleId="17">
    <w:name w:val="HTML Cite"/>
    <w:basedOn w:val="7"/>
    <w:qFormat/>
    <w:uiPriority w:val="0"/>
    <w:rPr>
      <w:i/>
    </w:rPr>
  </w:style>
  <w:style w:type="character" w:styleId="18">
    <w:name w:val="HTML Keyboard"/>
    <w:basedOn w:val="7"/>
    <w:qFormat/>
    <w:uiPriority w:val="0"/>
    <w:rPr>
      <w:rFonts w:hint="default" w:ascii="Consolas" w:hAnsi="Consolas" w:eastAsia="Consolas" w:cs="Consolas"/>
      <w:sz w:val="21"/>
      <w:szCs w:val="21"/>
    </w:rPr>
  </w:style>
  <w:style w:type="character" w:customStyle="1" w:styleId="19">
    <w:name w:val="disabled"/>
    <w:basedOn w:val="7"/>
    <w:qFormat/>
    <w:uiPriority w:val="0"/>
    <w:rPr>
      <w:color w:val="ADAAAD"/>
    </w:rPr>
  </w:style>
  <w:style w:type="character" w:customStyle="1" w:styleId="20">
    <w:name w:val="hover43"/>
    <w:basedOn w:val="7"/>
    <w:qFormat/>
    <w:uiPriority w:val="0"/>
    <w:rPr>
      <w:color w:val="FFFFFF"/>
      <w:shd w:val="clear" w:color="auto" w:fill="444444"/>
    </w:rPr>
  </w:style>
  <w:style w:type="character" w:customStyle="1" w:styleId="21">
    <w:name w:val="hover44"/>
    <w:basedOn w:val="7"/>
    <w:qFormat/>
    <w:uiPriority w:val="0"/>
    <w:rPr>
      <w:shd w:val="clear" w:color="auto" w:fill="000000"/>
    </w:rPr>
  </w:style>
  <w:style w:type="character" w:customStyle="1" w:styleId="22">
    <w:name w:val="pages"/>
    <w:basedOn w:val="7"/>
    <w:qFormat/>
    <w:uiPriority w:val="0"/>
    <w:rPr>
      <w:color w:val="555555"/>
    </w:rPr>
  </w:style>
  <w:style w:type="character" w:customStyle="1" w:styleId="23">
    <w:name w:val="pages1"/>
    <w:basedOn w:val="7"/>
    <w:qFormat/>
    <w:uiPriority w:val="0"/>
    <w:rPr>
      <w:color w:val="555555"/>
    </w:rPr>
  </w:style>
  <w:style w:type="character" w:customStyle="1" w:styleId="24">
    <w:name w:val="pages2"/>
    <w:basedOn w:val="7"/>
    <w:qFormat/>
    <w:uiPriority w:val="0"/>
    <w:rPr>
      <w:color w:val="666666"/>
      <w:sz w:val="18"/>
      <w:szCs w:val="18"/>
      <w:u w:val="none"/>
      <w:bdr w:val="single" w:color="DEDFDE" w:sz="6" w:space="0"/>
    </w:rPr>
  </w:style>
  <w:style w:type="character" w:customStyle="1" w:styleId="25">
    <w:name w:val="current"/>
    <w:basedOn w:val="7"/>
    <w:qFormat/>
    <w:uiPriority w:val="0"/>
    <w:rPr>
      <w:color w:val="FFFFFF"/>
      <w:shd w:val="clear" w:color="auto" w:fill="444444"/>
    </w:rPr>
  </w:style>
  <w:style w:type="character" w:customStyle="1" w:styleId="26">
    <w:name w:val="current1"/>
    <w:basedOn w:val="7"/>
    <w:qFormat/>
    <w:uiPriority w:val="0"/>
    <w:rPr>
      <w:b/>
      <w:color w:val="01BCA5"/>
      <w:sz w:val="18"/>
      <w:szCs w:val="18"/>
      <w:bdr w:val="single" w:color="DEDFDE" w:sz="6" w:space="0"/>
    </w:rPr>
  </w:style>
  <w:style w:type="character" w:customStyle="1" w:styleId="27">
    <w:name w:val="dots"/>
    <w:basedOn w:val="7"/>
    <w:qFormat/>
    <w:uiPriority w:val="0"/>
    <w:rPr>
      <w:color w:val="666666"/>
      <w:sz w:val="18"/>
      <w:szCs w:val="18"/>
      <w:u w:val="none"/>
      <w:bdr w:val="single" w:color="DEDFDE" w:sz="6" w:space="0"/>
    </w:rPr>
  </w:style>
  <w:style w:type="character" w:customStyle="1" w:styleId="28">
    <w:name w:val="hover42"/>
    <w:basedOn w:val="7"/>
    <w:qFormat/>
    <w:uiPriority w:val="0"/>
    <w:rPr>
      <w:shd w:val="clear" w:color="auto" w:fill="000000"/>
    </w:rPr>
  </w:style>
  <w:style w:type="character" w:customStyle="1" w:styleId="29">
    <w:name w:val="font41"/>
    <w:basedOn w:val="7"/>
    <w:qFormat/>
    <w:uiPriority w:val="0"/>
    <w:rPr>
      <w:rFonts w:ascii="宋体" w:hAnsi="宋体" w:eastAsia="宋体" w:cs="宋体"/>
      <w:b/>
      <w:color w:val="000000"/>
      <w:sz w:val="22"/>
      <w:szCs w:val="22"/>
      <w:u w:val="none"/>
    </w:rPr>
  </w:style>
  <w:style w:type="character" w:customStyle="1" w:styleId="30">
    <w:name w:val="font71"/>
    <w:basedOn w:val="7"/>
    <w:qFormat/>
    <w:uiPriority w:val="0"/>
    <w:rPr>
      <w:rFonts w:ascii="宋体" w:hAnsi="宋体" w:eastAsia="宋体" w:cs="宋体"/>
      <w:b/>
      <w:color w:val="000000"/>
      <w:sz w:val="22"/>
      <w:szCs w:val="22"/>
      <w:u w:val="none"/>
    </w:rPr>
  </w:style>
  <w:style w:type="character" w:customStyle="1" w:styleId="31">
    <w:name w:val="font01"/>
    <w:basedOn w:val="7"/>
    <w:qFormat/>
    <w:uiPriority w:val="0"/>
    <w:rPr>
      <w:rFonts w:ascii="Calibri" w:hAnsi="Calibri" w:cs="Calibri"/>
      <w:color w:val="000000"/>
      <w:sz w:val="22"/>
      <w:szCs w:val="22"/>
      <w:u w:val="none"/>
    </w:rPr>
  </w:style>
  <w:style w:type="paragraph" w:styleId="32">
    <w:name w:val="List Paragraph"/>
    <w:basedOn w:val="1"/>
    <w:unhideWhenUsed/>
    <w:qFormat/>
    <w:uiPriority w:val="99"/>
    <w:pPr>
      <w:ind w:firstLine="420" w:firstLineChars="200"/>
    </w:pPr>
  </w:style>
  <w:style w:type="character" w:customStyle="1" w:styleId="33">
    <w:name w:val="页眉 Char"/>
    <w:basedOn w:val="7"/>
    <w:link w:val="3"/>
    <w:qFormat/>
    <w:uiPriority w:val="0"/>
    <w:rPr>
      <w:rFonts w:ascii="Calibri" w:hAnsi="Calibri"/>
      <w:kern w:val="2"/>
      <w:sz w:val="18"/>
      <w:szCs w:val="18"/>
    </w:rPr>
  </w:style>
  <w:style w:type="character" w:customStyle="1" w:styleId="34">
    <w:name w:val="页脚 Char"/>
    <w:basedOn w:val="7"/>
    <w:link w:val="2"/>
    <w:qFormat/>
    <w:uiPriority w:val="99"/>
    <w:rPr>
      <w:rFonts w:ascii="Calibri" w:hAnsi="Calibri"/>
      <w:kern w:val="2"/>
      <w:sz w:val="18"/>
      <w:szCs w:val="18"/>
    </w:rPr>
  </w:style>
  <w:style w:type="paragraph" w:customStyle="1" w:styleId="3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杭州师范大学</Company>
  <Pages>9</Pages>
  <Words>596</Words>
  <Characters>3402</Characters>
  <Lines>28</Lines>
  <Paragraphs>7</Paragraphs>
  <TotalTime>8</TotalTime>
  <ScaleCrop>false</ScaleCrop>
  <LinksUpToDate>false</LinksUpToDate>
  <CharactersWithSpaces>3991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2019-10-13T01:46:00Z</dcterms:created>
  <dc:creator>Administrator</dc:creator>
  <cp:lastModifiedBy>All in all.</cp:lastModifiedBy>
  <dcterms:modified xsi:type="dcterms:W3CDTF">2021-10-05T15:40:56Z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C508CE4F894F45279C96060645B46337</vt:lpwstr>
  </property>
</Properties>
</file>