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rPr>
          <w:b/>
        </w:rPr>
      </w:pPr>
      <w:r>
        <w:rPr>
          <w:rFonts w:hint="eastAsia"/>
          <w:b/>
        </w:rPr>
        <w:t>附件1：</w:t>
      </w:r>
    </w:p>
    <w:p>
      <w:pPr>
        <w:spacing w:after="0" w:line="22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护理学院</w:t>
      </w:r>
      <w:r>
        <w:rPr>
          <w:rFonts w:hint="eastAsia"/>
          <w:b/>
          <w:sz w:val="28"/>
          <w:u w:val="single"/>
        </w:rPr>
        <w:t>202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-202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  <w:u w:val="single"/>
        </w:rPr>
        <w:t>一</w:t>
      </w:r>
      <w:bookmarkStart w:id="0" w:name="_GoBack"/>
      <w:bookmarkEnd w:id="0"/>
      <w:r>
        <w:rPr>
          <w:rFonts w:hint="eastAsia"/>
          <w:b/>
          <w:sz w:val="28"/>
        </w:rPr>
        <w:t>学期期中教学检查座谈会意见表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对本科教学的意见和建议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8" w:hRule="atLeast"/>
        </w:trPr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  <w:p>
            <w:pPr>
              <w:spacing w:after="0" w:line="220" w:lineRule="atLeast"/>
              <w:rPr>
                <w:b/>
                <w:sz w:val="24"/>
              </w:rPr>
            </w:pPr>
          </w:p>
        </w:tc>
      </w:tr>
    </w:tbl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（可另附页）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2023-11-23T02:53:57Z</dcterms:created>
  <dc:creator>1</dc:creator>
  <cp:lastModifiedBy>1</cp:lastModifiedBy>
  <dcterms:modified xsi:type="dcterms:W3CDTF">2023-11-23T02:54:05Z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FB657E72693F44E899338D03210833A5</vt:lpwstr>
  </property>
</Properties>
</file>