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5"/>
        <w:jc w:val="center"/>
        <w:outlineLvl w:val="0"/>
        <w:rPr>
          <w:rFonts w:ascii="黑体" w:hAnsi="黑体" w:eastAsia="黑体" w:cs="黑体"/>
          <w:b/>
          <w:color w:val="auto"/>
          <w:kern w:val="2"/>
          <w:sz w:val="36"/>
          <w:szCs w:val="36"/>
        </w:rPr>
      </w:pPr>
      <w:bookmarkStart w:id="0" w:name="_GoBack"/>
      <w:bookmarkEnd w:id="0"/>
      <w:r>
        <w:rPr>
          <w:rFonts w:hint="eastAsia" w:ascii="黑体" w:hAnsi="黑体" w:eastAsia="黑体" w:cs="黑体"/>
          <w:b/>
          <w:color w:val="auto"/>
          <w:kern w:val="2"/>
          <w:sz w:val="36"/>
          <w:szCs w:val="36"/>
          <w:lang w:eastAsia="zh-CN"/>
        </w:rPr>
        <w:t>护理学院</w:t>
      </w:r>
      <w:r>
        <w:rPr>
          <w:rFonts w:hint="eastAsia" w:ascii="黑体" w:hAnsi="黑体" w:eastAsia="黑体" w:cs="黑体"/>
          <w:b/>
          <w:color w:val="auto"/>
          <w:kern w:val="2"/>
          <w:sz w:val="36"/>
          <w:szCs w:val="36"/>
        </w:rPr>
        <w:t>教师课外育人工作考核办法实施细则</w:t>
      </w:r>
    </w:p>
    <w:p>
      <w:pPr>
        <w:pStyle w:val="35"/>
        <w:jc w:val="center"/>
        <w:rPr>
          <w:rFonts w:eastAsia="仿宋"/>
          <w:sz w:val="28"/>
          <w:szCs w:val="28"/>
        </w:rPr>
      </w:pPr>
      <w:r>
        <w:rPr>
          <w:rFonts w:hint="eastAsia" w:eastAsia="仿宋"/>
          <w:sz w:val="28"/>
          <w:szCs w:val="28"/>
        </w:rPr>
        <w:t>（试  行）</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为进一步贯彻落实全国、全省高校思想政治工作会议精神，强化教师在育人工作中的职责和任务，形成“全员育人、全过程育人、全方位育人”的工作格局，现结合</w:t>
      </w:r>
      <w:r>
        <w:rPr>
          <w:rFonts w:hint="eastAsia" w:ascii="仿宋_GB2312" w:hAnsi="仿宋_GB2312" w:eastAsia="仿宋_GB2312" w:cs="仿宋_GB2312"/>
          <w:color w:val="000000"/>
          <w:sz w:val="32"/>
          <w:szCs w:val="32"/>
          <w:lang w:bidi="ar"/>
        </w:rPr>
        <w:t>《杭州师范大学教师课外育人工作考核办法（试行）》及</w:t>
      </w:r>
      <w:r>
        <w:rPr>
          <w:rFonts w:hint="eastAsia" w:ascii="仿宋_GB2312" w:hAnsi="仿宋_GB2312" w:eastAsia="仿宋_GB2312" w:cs="仿宋_GB2312"/>
          <w:color w:val="000000"/>
          <w:sz w:val="32"/>
          <w:szCs w:val="32"/>
          <w:lang w:eastAsia="zh-CN" w:bidi="ar"/>
        </w:rPr>
        <w:t>学院</w:t>
      </w:r>
      <w:r>
        <w:rPr>
          <w:rFonts w:ascii="仿宋_GB2312" w:hAnsi="仿宋_GB2312" w:eastAsia="仿宋_GB2312" w:cs="仿宋_GB2312"/>
          <w:color w:val="000000"/>
          <w:sz w:val="32"/>
          <w:szCs w:val="32"/>
          <w:lang w:bidi="ar"/>
        </w:rPr>
        <w:t>工作实际，特制定本办法。</w:t>
      </w:r>
    </w:p>
    <w:p>
      <w:pPr>
        <w:widowControl/>
        <w:spacing w:line="540" w:lineRule="exact"/>
        <w:jc w:val="left"/>
        <w:outlineLvl w:val="1"/>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一、考核对象</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eastAsia="zh-CN" w:bidi="ar"/>
        </w:rPr>
        <w:t>护理学院</w:t>
      </w:r>
      <w:r>
        <w:rPr>
          <w:rFonts w:ascii="仿宋_GB2312" w:hAnsi="仿宋_GB2312" w:eastAsia="仿宋_GB2312" w:cs="仿宋_GB2312"/>
          <w:color w:val="000000"/>
          <w:sz w:val="32"/>
          <w:szCs w:val="32"/>
          <w:lang w:bidi="ar"/>
        </w:rPr>
        <w:t>在编在岗的全体专任教师、一线专职辅导员和科研人员。</w:t>
      </w:r>
    </w:p>
    <w:p>
      <w:pPr>
        <w:widowControl/>
        <w:spacing w:line="540" w:lineRule="exact"/>
        <w:jc w:val="left"/>
        <w:outlineLvl w:val="1"/>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二、考核内容</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本办法所指的课外育人工作是为了实现育人目标，教师在第一课堂课程育人外，承担一定形式的工作，对全日制学生进行的教育教学活动。内容包括：</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（一）学生班主任；</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（二）兼职辅导员；</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（三）本科学生综合导师；</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（四）研究生导师；</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（五）学生党支部书记；</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（六）学生社团指导教师；</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（七）学生社会实践活动指导教师；</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（八）学生竞赛活动指导教师；</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（九）学生创新创业活动指导教师；</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（十）党、团校培训或思政教育专题报告、沙龙等的主讲教师；</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（十一）学生非教学活动的评审或指导工作；</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ascii="仿宋_GB2312" w:hAnsi="仿宋_GB2312" w:eastAsia="仿宋_GB2312" w:cs="仿宋_GB2312"/>
          <w:color w:val="000000"/>
          <w:sz w:val="32"/>
          <w:szCs w:val="32"/>
          <w:lang w:bidi="ar"/>
        </w:rPr>
        <w:t>（十二）</w:t>
      </w:r>
      <w:r>
        <w:rPr>
          <w:rFonts w:hint="eastAsia" w:ascii="仿宋_GB2312" w:hAnsi="仿宋_GB2312" w:eastAsia="仿宋_GB2312" w:cs="仿宋_GB2312"/>
          <w:color w:val="000000"/>
          <w:sz w:val="32"/>
          <w:szCs w:val="32"/>
          <w:lang w:eastAsia="zh-CN" w:bidi="ar"/>
        </w:rPr>
        <w:t>学院</w:t>
      </w:r>
      <w:r>
        <w:rPr>
          <w:rFonts w:ascii="仿宋_GB2312" w:hAnsi="仿宋_GB2312" w:eastAsia="仿宋_GB2312" w:cs="仿宋_GB2312"/>
          <w:color w:val="000000"/>
          <w:sz w:val="32"/>
          <w:szCs w:val="32"/>
          <w:lang w:bidi="ar"/>
        </w:rPr>
        <w:t>根据实际需要设定的其他育人工作。</w:t>
      </w:r>
    </w:p>
    <w:p>
      <w:pPr>
        <w:widowControl/>
        <w:spacing w:line="540" w:lineRule="exact"/>
        <w:jc w:val="left"/>
        <w:outlineLvl w:val="1"/>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 xml:space="preserve">三、等级设定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教师课外育人工作考核结果分优秀、合格、不合格三个等级，一线专职辅导员按比例单列考核。</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 xml:space="preserve">（一）优秀：年度考核育人工作量满 30分，指导学生获突出成绩，学生反响好。比例不超过考核总人数的 20%。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 xml:space="preserve">（二）合格：年度考核育人工作量满10 分，工作认真负责。承担公共课程或没有本科学生的学院（部）可根据实际情况适当减轻工作量要求。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（三）不合格：年度考核育人工作量未满 10分，或在育人工作中有不当言行，产生恶劣影响的。</w:t>
      </w:r>
    </w:p>
    <w:p>
      <w:pPr>
        <w:widowControl/>
        <w:spacing w:line="540" w:lineRule="exact"/>
        <w:jc w:val="left"/>
        <w:outlineLvl w:val="1"/>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 xml:space="preserve">四、结果使用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 xml:space="preserve">（一）教师课外育人工作考核结果纳入教师年度工作考核，并作为教师专业技术职务晋升和评奖评优的基本依据之一。申请专业技术职务晋升的教师，任现职以来育人工作考核至少有一次优秀；三年内育人工作考核有不合格的教师，原则上在职称晋升和评奖评优时“一票否决”。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（二）教师课外育人工作考核结果作为教师岗位聘任的基本依据之一，同等条件下，育人工作考核优秀的教师优先聘岗，对聘期内 2 次及以上考核不合格的教师，实行降档聘任。</w:t>
      </w:r>
    </w:p>
    <w:p>
      <w:pPr>
        <w:widowControl/>
        <w:spacing w:line="540" w:lineRule="exact"/>
        <w:jc w:val="left"/>
        <w:outlineLvl w:val="1"/>
        <w:rPr>
          <w:rFonts w:ascii="黑体" w:hAnsi="宋体" w:eastAsia="黑体" w:cs="黑体"/>
          <w:color w:val="000000"/>
          <w:kern w:val="0"/>
          <w:sz w:val="32"/>
          <w:szCs w:val="32"/>
          <w:lang w:bidi="ar"/>
        </w:rPr>
      </w:pPr>
      <w:r>
        <w:rPr>
          <w:rFonts w:hint="eastAsia" w:ascii="黑体" w:hAnsi="宋体" w:eastAsia="黑体" w:cs="黑体"/>
          <w:color w:val="000000"/>
          <w:kern w:val="0"/>
          <w:sz w:val="32"/>
          <w:szCs w:val="32"/>
          <w:lang w:bidi="ar"/>
        </w:rPr>
        <w:t xml:space="preserve">五、组织实施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 xml:space="preserve">（一）教师课外育人工作考核与教师年度考核同时进行，结果纳入教师年度考核。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（二）</w:t>
      </w:r>
      <w:r>
        <w:rPr>
          <w:rFonts w:hint="eastAsia" w:ascii="仿宋_GB2312" w:hAnsi="仿宋_GB2312" w:eastAsia="仿宋_GB2312" w:cs="仿宋_GB2312"/>
          <w:color w:val="000000"/>
          <w:sz w:val="32"/>
          <w:szCs w:val="32"/>
          <w:lang w:eastAsia="zh-CN" w:bidi="ar"/>
        </w:rPr>
        <w:t>护理学院</w:t>
      </w:r>
      <w:r>
        <w:rPr>
          <w:rFonts w:hint="eastAsia" w:ascii="仿宋_GB2312" w:hAnsi="仿宋_GB2312" w:eastAsia="仿宋_GB2312" w:cs="仿宋_GB2312"/>
          <w:color w:val="000000"/>
          <w:sz w:val="32"/>
          <w:szCs w:val="32"/>
          <w:lang w:bidi="ar"/>
        </w:rPr>
        <w:t>成立教师课外育人工作考核小组，由</w:t>
      </w:r>
      <w:r>
        <w:rPr>
          <w:rFonts w:hint="eastAsia" w:ascii="仿宋_GB2312" w:hAnsi="仿宋_GB2312" w:eastAsia="仿宋_GB2312" w:cs="仿宋_GB2312"/>
          <w:color w:val="000000"/>
          <w:sz w:val="32"/>
          <w:szCs w:val="32"/>
          <w:lang w:eastAsia="zh-CN" w:bidi="ar"/>
        </w:rPr>
        <w:t>学院</w:t>
      </w:r>
      <w:r>
        <w:rPr>
          <w:rFonts w:hint="eastAsia" w:ascii="仿宋_GB2312" w:hAnsi="仿宋_GB2312" w:eastAsia="仿宋_GB2312" w:cs="仿宋_GB2312"/>
          <w:color w:val="000000"/>
          <w:sz w:val="32"/>
          <w:szCs w:val="32"/>
          <w:lang w:bidi="ar"/>
        </w:rPr>
        <w:t>党委书记任组长，党政办、学科办、教务科、学工办、</w:t>
      </w:r>
      <w:r>
        <w:rPr>
          <w:rFonts w:ascii="仿宋_GB2312" w:hAnsi="仿宋_GB2312" w:eastAsia="仿宋_GB2312" w:cs="仿宋_GB2312"/>
          <w:color w:val="000000"/>
          <w:sz w:val="32"/>
          <w:szCs w:val="32"/>
          <w:lang w:bidi="ar"/>
        </w:rPr>
        <w:t>团委</w:t>
      </w:r>
      <w:r>
        <w:rPr>
          <w:rFonts w:hint="eastAsia" w:ascii="仿宋_GB2312" w:hAnsi="仿宋_GB2312" w:eastAsia="仿宋_GB2312" w:cs="仿宋_GB2312"/>
          <w:color w:val="000000"/>
          <w:sz w:val="32"/>
          <w:szCs w:val="32"/>
          <w:lang w:bidi="ar"/>
        </w:rPr>
        <w:t>、</w:t>
      </w:r>
      <w:r>
        <w:rPr>
          <w:rFonts w:ascii="仿宋_GB2312" w:hAnsi="仿宋_GB2312" w:eastAsia="仿宋_GB2312" w:cs="仿宋_GB2312"/>
          <w:color w:val="000000"/>
          <w:sz w:val="32"/>
          <w:szCs w:val="32"/>
          <w:lang w:bidi="ar"/>
        </w:rPr>
        <w:t>工会</w:t>
      </w:r>
      <w:r>
        <w:rPr>
          <w:rFonts w:hint="eastAsia" w:ascii="仿宋_GB2312" w:hAnsi="仿宋_GB2312" w:eastAsia="仿宋_GB2312" w:cs="仿宋_GB2312"/>
          <w:color w:val="000000"/>
          <w:sz w:val="32"/>
          <w:szCs w:val="32"/>
          <w:lang w:bidi="ar"/>
        </w:rPr>
        <w:t>等部门主要负责人组成，办公室设在学工办，具体负责</w:t>
      </w:r>
      <w:r>
        <w:rPr>
          <w:rFonts w:hint="eastAsia" w:ascii="仿宋_GB2312" w:hAnsi="仿宋_GB2312" w:eastAsia="仿宋_GB2312" w:cs="仿宋_GB2312"/>
          <w:color w:val="000000"/>
          <w:sz w:val="32"/>
          <w:szCs w:val="32"/>
          <w:lang w:eastAsia="zh-CN" w:bidi="ar"/>
        </w:rPr>
        <w:t>学院</w:t>
      </w:r>
      <w:r>
        <w:rPr>
          <w:rFonts w:hint="eastAsia" w:ascii="仿宋_GB2312" w:hAnsi="仿宋_GB2312" w:eastAsia="仿宋_GB2312" w:cs="仿宋_GB2312"/>
          <w:color w:val="000000"/>
          <w:sz w:val="32"/>
          <w:szCs w:val="32"/>
          <w:lang w:bidi="ar"/>
        </w:rPr>
        <w:t xml:space="preserve">教师的育人工作考核。 </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r>
        <w:rPr>
          <w:rFonts w:hint="eastAsia" w:ascii="仿宋_GB2312" w:hAnsi="仿宋_GB2312" w:eastAsia="仿宋_GB2312" w:cs="仿宋_GB2312"/>
          <w:color w:val="000000"/>
          <w:sz w:val="32"/>
          <w:szCs w:val="32"/>
          <w:lang w:bidi="ar"/>
        </w:rPr>
        <w:t>（三）本办法自发布之日起实施，由学工办负责解释。</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p>
    <w:p>
      <w:pPr>
        <w:pStyle w:val="4"/>
        <w:widowControl/>
        <w:snapToGrid w:val="0"/>
        <w:spacing w:before="0" w:beforeAutospacing="0" w:after="0" w:afterAutospacing="0" w:line="540" w:lineRule="exact"/>
        <w:rPr>
          <w:rFonts w:ascii="楷体" w:hAnsi="楷体" w:eastAsia="楷体" w:cs="仿宋_GB2312"/>
          <w:color w:val="000000"/>
          <w:sz w:val="32"/>
          <w:szCs w:val="32"/>
          <w:lang w:bidi="ar"/>
        </w:rPr>
      </w:pPr>
      <w:r>
        <w:rPr>
          <w:rFonts w:hint="eastAsia" w:ascii="楷体" w:hAnsi="楷体" w:eastAsia="楷体" w:cs="仿宋_GB2312"/>
          <w:color w:val="000000"/>
          <w:sz w:val="32"/>
          <w:szCs w:val="32"/>
          <w:lang w:bidi="ar"/>
        </w:rPr>
        <w:t>附件：</w:t>
      </w:r>
      <w:r>
        <w:rPr>
          <w:rFonts w:hint="eastAsia" w:ascii="楷体" w:hAnsi="楷体" w:eastAsia="楷体" w:cs="仿宋_GB2312"/>
          <w:color w:val="000000"/>
          <w:sz w:val="32"/>
          <w:szCs w:val="32"/>
          <w:lang w:eastAsia="zh-CN" w:bidi="ar"/>
        </w:rPr>
        <w:t>护理学院</w:t>
      </w:r>
      <w:r>
        <w:rPr>
          <w:rFonts w:hint="eastAsia" w:ascii="楷体" w:hAnsi="楷体" w:eastAsia="楷体" w:cs="仿宋_GB2312"/>
          <w:color w:val="000000"/>
          <w:sz w:val="32"/>
          <w:szCs w:val="32"/>
          <w:lang w:bidi="ar"/>
        </w:rPr>
        <w:t>课外育人工作工作量计算及考核要求</w:t>
      </w:r>
    </w:p>
    <w:p>
      <w:pPr>
        <w:pStyle w:val="4"/>
        <w:widowControl/>
        <w:snapToGrid w:val="0"/>
        <w:spacing w:before="0" w:beforeAutospacing="0" w:after="0" w:afterAutospacing="0" w:line="540" w:lineRule="exact"/>
        <w:ind w:firstLine="640" w:firstLineChars="200"/>
        <w:rPr>
          <w:rFonts w:ascii="仿宋_GB2312" w:hAnsi="仿宋_GB2312" w:eastAsia="仿宋_GB2312" w:cs="仿宋_GB2312"/>
          <w:color w:val="000000"/>
          <w:sz w:val="32"/>
          <w:szCs w:val="32"/>
          <w:lang w:bidi="ar"/>
        </w:rPr>
      </w:pPr>
    </w:p>
    <w:p>
      <w:pPr>
        <w:spacing w:line="540" w:lineRule="exact"/>
        <w:ind w:firstLine="640" w:firstLineChars="200"/>
        <w:jc w:val="right"/>
        <w:rPr>
          <w:rFonts w:ascii="仿宋" w:hAnsi="仿宋" w:eastAsia="仿宋"/>
          <w:bCs/>
          <w:kern w:val="0"/>
          <w:sz w:val="32"/>
          <w:szCs w:val="32"/>
        </w:rPr>
      </w:pPr>
      <w:r>
        <w:rPr>
          <w:rFonts w:hint="eastAsia" w:ascii="仿宋" w:hAnsi="仿宋" w:eastAsia="仿宋"/>
          <w:bCs/>
          <w:kern w:val="0"/>
          <w:sz w:val="32"/>
          <w:szCs w:val="32"/>
        </w:rPr>
        <w:t>中共杭州师范大学</w:t>
      </w:r>
      <w:r>
        <w:rPr>
          <w:rFonts w:hint="eastAsia" w:ascii="仿宋" w:hAnsi="仿宋" w:eastAsia="仿宋"/>
          <w:bCs/>
          <w:kern w:val="0"/>
          <w:sz w:val="32"/>
          <w:szCs w:val="32"/>
          <w:lang w:eastAsia="zh-CN"/>
        </w:rPr>
        <w:t>护理学院</w:t>
      </w:r>
      <w:r>
        <w:rPr>
          <w:rFonts w:hint="eastAsia" w:ascii="仿宋" w:hAnsi="仿宋" w:eastAsia="仿宋"/>
          <w:bCs/>
          <w:kern w:val="0"/>
          <w:sz w:val="32"/>
          <w:szCs w:val="32"/>
        </w:rPr>
        <w:t>委员会</w:t>
      </w:r>
    </w:p>
    <w:p>
      <w:pPr>
        <w:widowControl/>
        <w:wordWrap w:val="0"/>
        <w:spacing w:line="540" w:lineRule="exact"/>
        <w:ind w:firstLine="640" w:firstLineChars="200"/>
        <w:jc w:val="right"/>
        <w:rPr>
          <w:rFonts w:ascii="仿宋" w:hAnsi="仿宋" w:eastAsia="仿宋"/>
          <w:bCs/>
          <w:kern w:val="0"/>
          <w:sz w:val="32"/>
          <w:szCs w:val="32"/>
        </w:rPr>
      </w:pPr>
      <w:r>
        <w:rPr>
          <w:rFonts w:hint="eastAsia" w:ascii="仿宋" w:hAnsi="仿宋" w:eastAsia="仿宋"/>
          <w:bCs/>
          <w:kern w:val="0"/>
          <w:sz w:val="32"/>
          <w:szCs w:val="32"/>
        </w:rPr>
        <w:t>杭州师范大学</w:t>
      </w:r>
      <w:r>
        <w:rPr>
          <w:rFonts w:hint="eastAsia" w:ascii="仿宋" w:hAnsi="仿宋" w:eastAsia="仿宋"/>
          <w:bCs/>
          <w:kern w:val="0"/>
          <w:sz w:val="32"/>
          <w:szCs w:val="32"/>
          <w:lang w:eastAsia="zh-CN"/>
        </w:rPr>
        <w:t>护理学院</w:t>
      </w:r>
      <w:r>
        <w:rPr>
          <w:rFonts w:hint="eastAsia" w:ascii="仿宋" w:hAnsi="仿宋" w:eastAsia="仿宋"/>
          <w:bCs/>
          <w:kern w:val="0"/>
          <w:sz w:val="32"/>
          <w:szCs w:val="32"/>
        </w:rPr>
        <w:t xml:space="preserve">  </w:t>
      </w:r>
    </w:p>
    <w:p>
      <w:pPr>
        <w:widowControl/>
        <w:wordWrap w:val="0"/>
        <w:spacing w:line="540" w:lineRule="exact"/>
        <w:ind w:firstLine="640" w:firstLineChars="200"/>
        <w:jc w:val="right"/>
        <w:rPr>
          <w:rFonts w:ascii="黑体" w:hAnsi="黑体" w:eastAsia="黑体"/>
          <w:kern w:val="0"/>
          <w:sz w:val="32"/>
          <w:szCs w:val="32"/>
        </w:rPr>
      </w:pPr>
      <w:r>
        <w:rPr>
          <w:rFonts w:hint="eastAsia" w:ascii="仿宋" w:hAnsi="仿宋" w:eastAsia="仿宋"/>
          <w:bCs/>
          <w:kern w:val="0"/>
          <w:sz w:val="32"/>
          <w:szCs w:val="32"/>
          <w:lang w:eastAsia="zh-CN"/>
        </w:rPr>
        <w:t>2021</w:t>
      </w:r>
      <w:r>
        <w:rPr>
          <w:rFonts w:hint="eastAsia" w:ascii="仿宋" w:hAnsi="仿宋" w:eastAsia="仿宋"/>
          <w:bCs/>
          <w:kern w:val="0"/>
          <w:sz w:val="32"/>
          <w:szCs w:val="32"/>
        </w:rPr>
        <w:t xml:space="preserve">年10月30日   </w:t>
      </w:r>
    </w:p>
    <w:p>
      <w:pPr>
        <w:pStyle w:val="35"/>
        <w:spacing w:line="360" w:lineRule="auto"/>
        <w:rPr>
          <w:rFonts w:ascii="黑体" w:eastAsia="黑体" w:cs="黑体"/>
          <w:color w:val="000000" w:themeColor="text1"/>
          <w14:textFill>
            <w14:solidFill>
              <w14:schemeClr w14:val="tx1"/>
            </w14:solidFill>
          </w14:textFill>
        </w:rPr>
        <w:sectPr>
          <w:footerReference r:id="rId3" w:type="default"/>
          <w:pgSz w:w="11906" w:h="16838"/>
          <w:pgMar w:top="1440" w:right="1800" w:bottom="1440" w:left="1800" w:header="851" w:footer="992" w:gutter="0"/>
          <w:cols w:space="425" w:num="1"/>
          <w:docGrid w:type="lines" w:linePitch="312" w:charSpace="0"/>
        </w:sectPr>
      </w:pPr>
      <w:r>
        <w:rPr>
          <w:rFonts w:hint="eastAsia" w:ascii="黑体" w:eastAsia="黑体" w:cs="黑体"/>
          <w:color w:val="000000" w:themeColor="text1"/>
          <w14:textFill>
            <w14:solidFill>
              <w14:schemeClr w14:val="tx1"/>
            </w14:solidFill>
          </w14:textFill>
        </w:rPr>
        <w:t xml:space="preserve"> </w:t>
      </w:r>
    </w:p>
    <w:p>
      <w:pPr>
        <w:pStyle w:val="35"/>
        <w:spacing w:line="360" w:lineRule="auto"/>
        <w:rPr>
          <w:rFonts w:ascii="黑体" w:eastAsia="黑体" w:cs="黑体"/>
          <w:color w:val="000000" w:themeColor="text1"/>
          <w14:textFill>
            <w14:solidFill>
              <w14:schemeClr w14:val="tx1"/>
            </w14:solidFill>
          </w14:textFill>
        </w:rPr>
        <w:sectPr>
          <w:type w:val="continuous"/>
          <w:pgSz w:w="11906" w:h="16838"/>
          <w:pgMar w:top="1440" w:right="1800" w:bottom="1440" w:left="1800" w:header="851" w:footer="992" w:gutter="0"/>
          <w:cols w:space="425" w:num="1"/>
          <w:docGrid w:type="lines" w:linePitch="312" w:charSpace="0"/>
        </w:sectPr>
      </w:pPr>
    </w:p>
    <w:p>
      <w:pPr>
        <w:spacing w:line="360" w:lineRule="auto"/>
        <w:jc w:val="left"/>
        <w:outlineLvl w:val="1"/>
        <w:rPr>
          <w:rFonts w:ascii="仿宋" w:hAnsi="仿宋" w:eastAsia="仿宋"/>
          <w:b/>
          <w:sz w:val="32"/>
          <w:szCs w:val="31"/>
        </w:rPr>
      </w:pPr>
      <w:r>
        <w:rPr>
          <w:rFonts w:hint="eastAsia" w:ascii="仿宋" w:hAnsi="仿宋" w:eastAsia="仿宋"/>
          <w:b/>
          <w:sz w:val="32"/>
          <w:szCs w:val="31"/>
        </w:rPr>
        <w:t>附件：</w:t>
      </w:r>
    </w:p>
    <w:p>
      <w:pPr>
        <w:spacing w:line="360" w:lineRule="auto"/>
        <w:jc w:val="center"/>
        <w:outlineLvl w:val="0"/>
        <w:rPr>
          <w:rFonts w:ascii="黑体" w:hAnsi="黑体" w:eastAsia="黑体"/>
          <w:b/>
          <w:sz w:val="36"/>
          <w:szCs w:val="31"/>
        </w:rPr>
      </w:pPr>
      <w:r>
        <w:rPr>
          <w:rFonts w:hint="eastAsia" w:ascii="黑体" w:hAnsi="黑体" w:eastAsia="黑体"/>
          <w:b/>
          <w:sz w:val="36"/>
          <w:szCs w:val="31"/>
          <w:lang w:eastAsia="zh-CN"/>
        </w:rPr>
        <w:t>护理学院</w:t>
      </w:r>
      <w:r>
        <w:rPr>
          <w:rFonts w:hint="eastAsia" w:ascii="黑体" w:hAnsi="黑体" w:eastAsia="黑体"/>
          <w:b/>
          <w:sz w:val="36"/>
          <w:szCs w:val="31"/>
        </w:rPr>
        <w:t>课外育人工作</w:t>
      </w:r>
      <w:r>
        <w:rPr>
          <w:rFonts w:ascii="黑体" w:hAnsi="黑体" w:eastAsia="黑体"/>
          <w:b/>
          <w:sz w:val="36"/>
          <w:szCs w:val="31"/>
        </w:rPr>
        <w:t>工作量</w:t>
      </w:r>
      <w:r>
        <w:rPr>
          <w:rFonts w:hint="eastAsia" w:ascii="黑体" w:hAnsi="黑体" w:eastAsia="黑体"/>
          <w:b/>
          <w:sz w:val="36"/>
          <w:szCs w:val="31"/>
        </w:rPr>
        <w:t>计算及</w:t>
      </w:r>
      <w:r>
        <w:rPr>
          <w:rFonts w:ascii="黑体" w:hAnsi="黑体" w:eastAsia="黑体"/>
          <w:b/>
          <w:sz w:val="36"/>
          <w:szCs w:val="31"/>
        </w:rPr>
        <w:t>考核要求</w:t>
      </w:r>
    </w:p>
    <w:tbl>
      <w:tblPr>
        <w:tblStyle w:val="5"/>
        <w:tblpPr w:leftFromText="180" w:rightFromText="180" w:vertAnchor="text" w:tblpXSpec="center" w:tblpY="1"/>
        <w:tblOverlap w:val="never"/>
        <w:tblW w:w="15120" w:type="dxa"/>
        <w:tblInd w:w="0" w:type="dxa"/>
        <w:tblLayout w:type="fixed"/>
        <w:tblCellMar>
          <w:top w:w="0" w:type="dxa"/>
          <w:left w:w="108" w:type="dxa"/>
          <w:bottom w:w="0" w:type="dxa"/>
          <w:right w:w="108" w:type="dxa"/>
        </w:tblCellMar>
      </w:tblPr>
      <w:tblGrid>
        <w:gridCol w:w="1080"/>
        <w:gridCol w:w="1080"/>
        <w:gridCol w:w="3060"/>
        <w:gridCol w:w="1080"/>
        <w:gridCol w:w="3420"/>
        <w:gridCol w:w="1080"/>
        <w:gridCol w:w="1080"/>
        <w:gridCol w:w="1080"/>
        <w:gridCol w:w="1080"/>
        <w:gridCol w:w="1080"/>
      </w:tblGrid>
      <w:tr>
        <w:tblPrEx>
          <w:tblCellMar>
            <w:top w:w="0" w:type="dxa"/>
            <w:left w:w="108" w:type="dxa"/>
            <w:bottom w:w="0" w:type="dxa"/>
            <w:right w:w="108" w:type="dxa"/>
          </w:tblCellMar>
        </w:tblPrEx>
        <w:trPr>
          <w:trHeight w:val="300" w:hRule="atLeast"/>
        </w:trPr>
        <w:tc>
          <w:tcPr>
            <w:tcW w:w="1080" w:type="dxa"/>
            <w:tcBorders>
              <w:top w:val="single" w:color="auto" w:sz="8" w:space="0"/>
              <w:left w:val="single" w:color="auto" w:sz="8" w:space="0"/>
              <w:bottom w:val="single" w:color="auto" w:sz="8" w:space="0"/>
              <w:right w:val="single" w:color="auto" w:sz="8"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序号</w:t>
            </w:r>
          </w:p>
        </w:tc>
        <w:tc>
          <w:tcPr>
            <w:tcW w:w="1080" w:type="dxa"/>
            <w:tcBorders>
              <w:top w:val="single" w:color="auto" w:sz="8" w:space="0"/>
              <w:left w:val="nil"/>
              <w:bottom w:val="single" w:color="auto" w:sz="8" w:space="0"/>
              <w:right w:val="single" w:color="auto" w:sz="8"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类别</w:t>
            </w:r>
          </w:p>
        </w:tc>
        <w:tc>
          <w:tcPr>
            <w:tcW w:w="306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选聘要求</w:t>
            </w:r>
          </w:p>
        </w:tc>
        <w:tc>
          <w:tcPr>
            <w:tcW w:w="1080" w:type="dxa"/>
            <w:tcBorders>
              <w:top w:val="single" w:color="auto" w:sz="8" w:space="0"/>
              <w:left w:val="nil"/>
              <w:bottom w:val="single" w:color="auto" w:sz="8" w:space="0"/>
              <w:right w:val="single" w:color="auto" w:sz="8"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等级</w:t>
            </w:r>
          </w:p>
        </w:tc>
        <w:tc>
          <w:tcPr>
            <w:tcW w:w="342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考核要求</w:t>
            </w:r>
          </w:p>
        </w:tc>
        <w:tc>
          <w:tcPr>
            <w:tcW w:w="324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分数</w:t>
            </w:r>
          </w:p>
        </w:tc>
        <w:tc>
          <w:tcPr>
            <w:tcW w:w="1080" w:type="dxa"/>
            <w:tcBorders>
              <w:top w:val="single" w:color="auto" w:sz="8" w:space="0"/>
              <w:left w:val="nil"/>
              <w:bottom w:val="single" w:color="auto" w:sz="8" w:space="0"/>
              <w:right w:val="single" w:color="auto" w:sz="4"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数据来源和主考部门</w:t>
            </w:r>
          </w:p>
        </w:tc>
        <w:tc>
          <w:tcPr>
            <w:tcW w:w="1080"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center"/>
              <w:rPr>
                <w:rFonts w:ascii="宋体" w:hAnsi="宋体" w:cs="宋体"/>
                <w:b/>
                <w:bCs/>
                <w:color w:val="000000"/>
                <w:kern w:val="0"/>
                <w:sz w:val="24"/>
              </w:rPr>
            </w:pPr>
            <w:r>
              <w:rPr>
                <w:rFonts w:hint="eastAsia" w:ascii="宋体" w:hAnsi="宋体" w:cs="宋体"/>
                <w:b/>
                <w:bCs/>
                <w:color w:val="000000"/>
                <w:kern w:val="0"/>
                <w:sz w:val="24"/>
              </w:rPr>
              <w:t>备注</w:t>
            </w:r>
          </w:p>
        </w:tc>
      </w:tr>
      <w:tr>
        <w:tblPrEx>
          <w:tblCellMar>
            <w:top w:w="0" w:type="dxa"/>
            <w:left w:w="108" w:type="dxa"/>
            <w:bottom w:w="0" w:type="dxa"/>
            <w:right w:w="108" w:type="dxa"/>
          </w:tblCellMar>
        </w:tblPrEx>
        <w:trPr>
          <w:trHeight w:val="1770" w:hRule="atLeast"/>
        </w:trPr>
        <w:tc>
          <w:tcPr>
            <w:tcW w:w="1080" w:type="dxa"/>
            <w:vMerge w:val="restart"/>
            <w:tcBorders>
              <w:top w:val="nil"/>
              <w:left w:val="single" w:color="auto" w:sz="8" w:space="0"/>
              <w:bottom w:val="single" w:color="000000"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1</w:t>
            </w:r>
          </w:p>
        </w:tc>
        <w:tc>
          <w:tcPr>
            <w:tcW w:w="1080"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班主任</w:t>
            </w:r>
          </w:p>
        </w:tc>
        <w:tc>
          <w:tcPr>
            <w:tcW w:w="3060"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具有坚定的政治立场，在政治上、思想上、行动上和党中央保持一致；以身作则，为人师表，热爱学生，做青年学生的良师益友。工作勤奋，具有较强的事业心和工作责任感，具备较强的组织协调、管理和语言文字能力，掌握青年工作的基本知识、方法和一般规律。自主报名与学院推荐相结合，具体以当年《</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班主任招聘通知》为准</w:t>
            </w:r>
          </w:p>
        </w:tc>
        <w:tc>
          <w:tcPr>
            <w:tcW w:w="1080" w:type="dxa"/>
            <w:tcBorders>
              <w:top w:val="nil"/>
              <w:left w:val="nil"/>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优秀</w:t>
            </w:r>
          </w:p>
        </w:tc>
        <w:tc>
          <w:tcPr>
            <w:tcW w:w="342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能较好地完成《杭州师范大学</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班主任管理办法》中对班主任的各项工作要求；学生满意度评价在90分以上，学年班主任考核成绩为“优秀”。</w:t>
            </w:r>
          </w:p>
        </w:tc>
        <w:tc>
          <w:tcPr>
            <w:tcW w:w="324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25</w:t>
            </w:r>
          </w:p>
        </w:tc>
        <w:tc>
          <w:tcPr>
            <w:tcW w:w="1080" w:type="dxa"/>
            <w:vMerge w:val="restart"/>
            <w:tcBorders>
              <w:top w:val="nil"/>
              <w:left w:val="single" w:color="auto" w:sz="8" w:space="0"/>
              <w:bottom w:val="single" w:color="000000" w:sz="8" w:space="0"/>
              <w:right w:val="single" w:color="auto" w:sz="4"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学工办</w:t>
            </w:r>
          </w:p>
        </w:tc>
        <w:tc>
          <w:tcPr>
            <w:tcW w:w="1080" w:type="dxa"/>
            <w:vMerge w:val="restart"/>
            <w:tcBorders>
              <w:top w:val="nil"/>
              <w:left w:val="single" w:color="auto" w:sz="4" w:space="0"/>
              <w:bottom w:val="single" w:color="000000" w:sz="8" w:space="0"/>
              <w:right w:val="single" w:color="auto" w:sz="8" w:space="0"/>
            </w:tcBorders>
            <w:shd w:val="clear" w:color="auto" w:fill="auto"/>
            <w:vAlign w:val="center"/>
          </w:tcPr>
          <w:p>
            <w:pPr>
              <w:widowControl/>
              <w:jc w:val="left"/>
              <w:rPr>
                <w:rFonts w:cs="宋体" w:asciiTheme="minorEastAsia" w:hAnsiTheme="minorEastAsia"/>
                <w:kern w:val="0"/>
                <w:sz w:val="22"/>
              </w:rPr>
            </w:pPr>
            <w:r>
              <w:rPr>
                <w:rFonts w:hint="eastAsia" w:cs="宋体" w:asciiTheme="minorEastAsia" w:hAnsiTheme="minorEastAsia"/>
                <w:kern w:val="0"/>
                <w:sz w:val="22"/>
              </w:rPr>
              <w:t>《杭州师范大学</w:t>
            </w:r>
            <w:r>
              <w:rPr>
                <w:rFonts w:hint="eastAsia" w:cs="宋体" w:asciiTheme="minorEastAsia" w:hAnsiTheme="minorEastAsia"/>
                <w:kern w:val="0"/>
                <w:sz w:val="22"/>
                <w:lang w:eastAsia="zh-CN"/>
              </w:rPr>
              <w:t>护理学院</w:t>
            </w:r>
            <w:r>
              <w:rPr>
                <w:rFonts w:hint="eastAsia" w:cs="宋体" w:asciiTheme="minorEastAsia" w:hAnsiTheme="minorEastAsia"/>
                <w:kern w:val="0"/>
                <w:sz w:val="22"/>
              </w:rPr>
              <w:t>班主任管理办法》</w:t>
            </w:r>
          </w:p>
        </w:tc>
      </w:tr>
      <w:tr>
        <w:tblPrEx>
          <w:tblCellMar>
            <w:top w:w="0" w:type="dxa"/>
            <w:left w:w="108" w:type="dxa"/>
            <w:bottom w:w="0" w:type="dxa"/>
            <w:right w:w="108" w:type="dxa"/>
          </w:tblCellMar>
        </w:tblPrEx>
        <w:trPr>
          <w:trHeight w:val="1635" w:hRule="atLeast"/>
        </w:trPr>
        <w:tc>
          <w:tcPr>
            <w:tcW w:w="1080" w:type="dxa"/>
            <w:vMerge w:val="continue"/>
            <w:tcBorders>
              <w:top w:val="nil"/>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nil"/>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nil"/>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tcBorders>
              <w:top w:val="nil"/>
              <w:left w:val="nil"/>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良好</w:t>
            </w:r>
          </w:p>
        </w:tc>
        <w:tc>
          <w:tcPr>
            <w:tcW w:w="342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能基本完成《杭州师范大学</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班主任管理办法》中对班主任的各项工作要求；学生满意度评价在80分以上，每学期班主任考核成绩“良好”及以上。</w:t>
            </w:r>
          </w:p>
        </w:tc>
        <w:tc>
          <w:tcPr>
            <w:tcW w:w="324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20</w:t>
            </w:r>
          </w:p>
        </w:tc>
        <w:tc>
          <w:tcPr>
            <w:tcW w:w="1080" w:type="dxa"/>
            <w:vMerge w:val="continue"/>
            <w:tcBorders>
              <w:top w:val="nil"/>
              <w:left w:val="single" w:color="auto" w:sz="8" w:space="0"/>
              <w:bottom w:val="single" w:color="000000" w:sz="8" w:space="0"/>
              <w:right w:val="single" w:color="auto" w:sz="4"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nil"/>
              <w:left w:val="single" w:color="auto" w:sz="4" w:space="0"/>
              <w:bottom w:val="single" w:color="000000" w:sz="8" w:space="0"/>
              <w:right w:val="single" w:color="auto" w:sz="8" w:space="0"/>
            </w:tcBorders>
            <w:vAlign w:val="center"/>
          </w:tcPr>
          <w:p>
            <w:pPr>
              <w:widowControl/>
              <w:jc w:val="left"/>
              <w:rPr>
                <w:rFonts w:cs="宋体" w:asciiTheme="minorEastAsia" w:hAnsiTheme="minorEastAsia"/>
                <w:color w:val="FF0000"/>
                <w:kern w:val="0"/>
                <w:sz w:val="22"/>
              </w:rPr>
            </w:pPr>
          </w:p>
        </w:tc>
      </w:tr>
      <w:tr>
        <w:tblPrEx>
          <w:tblCellMar>
            <w:top w:w="0" w:type="dxa"/>
            <w:left w:w="108" w:type="dxa"/>
            <w:bottom w:w="0" w:type="dxa"/>
            <w:right w:w="108" w:type="dxa"/>
          </w:tblCellMar>
        </w:tblPrEx>
        <w:trPr>
          <w:trHeight w:val="1785" w:hRule="atLeast"/>
        </w:trPr>
        <w:tc>
          <w:tcPr>
            <w:tcW w:w="1080" w:type="dxa"/>
            <w:vMerge w:val="continue"/>
            <w:tcBorders>
              <w:top w:val="nil"/>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nil"/>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nil"/>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tcBorders>
              <w:top w:val="nil"/>
              <w:left w:val="nil"/>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能完成《杭州师范大学</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班主任管理办法》中对班主任的大部分工作要求；学生满意度评价在70分以上，学年班主任考核成绩为“合格”及以上且至少有一个学期为“良好”及以上。</w:t>
            </w:r>
          </w:p>
        </w:tc>
        <w:tc>
          <w:tcPr>
            <w:tcW w:w="324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15</w:t>
            </w:r>
          </w:p>
        </w:tc>
        <w:tc>
          <w:tcPr>
            <w:tcW w:w="1080" w:type="dxa"/>
            <w:vMerge w:val="continue"/>
            <w:tcBorders>
              <w:top w:val="nil"/>
              <w:left w:val="single" w:color="auto" w:sz="8" w:space="0"/>
              <w:bottom w:val="single" w:color="000000" w:sz="8" w:space="0"/>
              <w:right w:val="single" w:color="auto" w:sz="4"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nil"/>
              <w:left w:val="single" w:color="auto" w:sz="4" w:space="0"/>
              <w:bottom w:val="single" w:color="000000" w:sz="8" w:space="0"/>
              <w:right w:val="single" w:color="auto" w:sz="8" w:space="0"/>
            </w:tcBorders>
            <w:vAlign w:val="center"/>
          </w:tcPr>
          <w:p>
            <w:pPr>
              <w:widowControl/>
              <w:jc w:val="left"/>
              <w:rPr>
                <w:rFonts w:cs="宋体" w:asciiTheme="minorEastAsia" w:hAnsiTheme="minorEastAsia"/>
                <w:color w:val="FF0000"/>
                <w:kern w:val="0"/>
                <w:sz w:val="22"/>
              </w:rPr>
            </w:pPr>
          </w:p>
        </w:tc>
      </w:tr>
      <w:tr>
        <w:tblPrEx>
          <w:tblCellMar>
            <w:top w:w="0" w:type="dxa"/>
            <w:left w:w="108" w:type="dxa"/>
            <w:bottom w:w="0" w:type="dxa"/>
            <w:right w:w="108" w:type="dxa"/>
          </w:tblCellMar>
        </w:tblPrEx>
        <w:trPr>
          <w:trHeight w:val="4002" w:hRule="atLeast"/>
        </w:trPr>
        <w:tc>
          <w:tcPr>
            <w:tcW w:w="1080" w:type="dxa"/>
            <w:tcBorders>
              <w:top w:val="nil"/>
              <w:left w:val="single" w:color="auto" w:sz="8" w:space="0"/>
              <w:bottom w:val="single" w:color="auto" w:sz="4"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w:t>
            </w:r>
          </w:p>
        </w:tc>
        <w:tc>
          <w:tcPr>
            <w:tcW w:w="1080" w:type="dxa"/>
            <w:tcBorders>
              <w:top w:val="nil"/>
              <w:left w:val="nil"/>
              <w:bottom w:val="single" w:color="auto" w:sz="4"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兼职辅导员</w:t>
            </w:r>
          </w:p>
        </w:tc>
        <w:tc>
          <w:tcPr>
            <w:tcW w:w="3060" w:type="dxa"/>
            <w:tcBorders>
              <w:top w:val="nil"/>
              <w:left w:val="nil"/>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中共党员，具有坚定正确的政治方向，坚决维护党和国家的利益和学校的稳定。热爱学生工作，事业心和责任感强，品行端正，为人师表。具有较强的工作能力，具备一定组织管理、沟通协调和调查研究的能力。能够处理好本职工作和兼职辅导员工作关系，善于利用业余时间开展学生工作。自主报名与党委推荐相结合，具体以当年《</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兼职辅导员招聘通知》为准</w:t>
            </w:r>
          </w:p>
        </w:tc>
        <w:tc>
          <w:tcPr>
            <w:tcW w:w="1080" w:type="dxa"/>
            <w:tcBorders>
              <w:top w:val="nil"/>
              <w:left w:val="nil"/>
              <w:bottom w:val="single" w:color="auto" w:sz="4"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nil"/>
              <w:left w:val="nil"/>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能较好地完成《杭州师范大学兼职辅导员管理办法》中对兼职辅导员的各项工作要求。</w:t>
            </w:r>
          </w:p>
        </w:tc>
        <w:tc>
          <w:tcPr>
            <w:tcW w:w="3240" w:type="dxa"/>
            <w:gridSpan w:val="3"/>
            <w:tcBorders>
              <w:top w:val="single" w:color="auto" w:sz="8" w:space="0"/>
              <w:left w:val="nil"/>
              <w:bottom w:val="single" w:color="auto" w:sz="4"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20</w:t>
            </w:r>
          </w:p>
        </w:tc>
        <w:tc>
          <w:tcPr>
            <w:tcW w:w="1080" w:type="dxa"/>
            <w:tcBorders>
              <w:top w:val="nil"/>
              <w:left w:val="nil"/>
              <w:bottom w:val="single" w:color="auto" w:sz="4"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学工办</w:t>
            </w:r>
          </w:p>
        </w:tc>
        <w:tc>
          <w:tcPr>
            <w:tcW w:w="1080" w:type="dxa"/>
            <w:tcBorders>
              <w:top w:val="nil"/>
              <w:left w:val="single" w:color="auto" w:sz="8" w:space="0"/>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《杭州师范大学兼职辅导员管理办法》</w:t>
            </w:r>
          </w:p>
        </w:tc>
      </w:tr>
      <w:tr>
        <w:tblPrEx>
          <w:tblCellMar>
            <w:top w:w="0" w:type="dxa"/>
            <w:left w:w="108" w:type="dxa"/>
            <w:bottom w:w="0" w:type="dxa"/>
            <w:right w:w="108" w:type="dxa"/>
          </w:tblCellMar>
        </w:tblPrEx>
        <w:trPr>
          <w:trHeight w:val="3418" w:hRule="atLeast"/>
        </w:trPr>
        <w:tc>
          <w:tcPr>
            <w:tcW w:w="1080" w:type="dxa"/>
            <w:tcBorders>
              <w:top w:val="single" w:color="auto" w:sz="4" w:space="0"/>
              <w:left w:val="single" w:color="auto" w:sz="8" w:space="0"/>
              <w:bottom w:val="single" w:color="auto" w:sz="4"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3</w:t>
            </w:r>
          </w:p>
        </w:tc>
        <w:tc>
          <w:tcPr>
            <w:tcW w:w="1080" w:type="dxa"/>
            <w:tcBorders>
              <w:top w:val="single" w:color="auto" w:sz="4" w:space="0"/>
              <w:left w:val="nil"/>
              <w:bottom w:val="single" w:color="auto" w:sz="4"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本科生综合导师</w:t>
            </w:r>
          </w:p>
        </w:tc>
        <w:tc>
          <w:tcPr>
            <w:tcW w:w="3060"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了解学生的性格、兴趣、人格特质、生活与家庭状况，引导学生身心健康发展、培养健全人格，及时为经济、学习、心理等方面有困难的学生提供帮助，并主动与班主任、辅导员保持联系，积极协作。具体以当年《</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本科生综合导师招聘通知》为准。</w:t>
            </w:r>
            <w:r>
              <w:rPr>
                <w:rFonts w:hint="eastAsia" w:cs="宋体" w:asciiTheme="minorEastAsia" w:hAnsiTheme="minorEastAsia"/>
                <w:kern w:val="0"/>
                <w:sz w:val="22"/>
              </w:rPr>
              <w:t>原则上每位导师指导学生不超过12人。</w:t>
            </w:r>
          </w:p>
        </w:tc>
        <w:tc>
          <w:tcPr>
            <w:tcW w:w="1080" w:type="dxa"/>
            <w:tcBorders>
              <w:top w:val="single" w:color="auto" w:sz="4" w:space="0"/>
              <w:left w:val="nil"/>
              <w:bottom w:val="single" w:color="auto" w:sz="4"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single" w:color="auto" w:sz="4" w:space="0"/>
              <w:left w:val="nil"/>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每学期至少指导每个学生不少于4次。</w:t>
            </w:r>
          </w:p>
        </w:tc>
        <w:tc>
          <w:tcPr>
            <w:tcW w:w="3240" w:type="dxa"/>
            <w:gridSpan w:val="3"/>
            <w:tcBorders>
              <w:top w:val="single" w:color="auto" w:sz="4" w:space="0"/>
              <w:left w:val="nil"/>
              <w:bottom w:val="single" w:color="auto" w:sz="4"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2/人·年</w:t>
            </w:r>
          </w:p>
        </w:tc>
        <w:tc>
          <w:tcPr>
            <w:tcW w:w="1080" w:type="dxa"/>
            <w:tcBorders>
              <w:top w:val="single" w:color="auto" w:sz="4" w:space="0"/>
              <w:left w:val="nil"/>
              <w:bottom w:val="single" w:color="auto" w:sz="4"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学工办</w:t>
            </w:r>
          </w:p>
        </w:tc>
        <w:tc>
          <w:tcPr>
            <w:tcW w:w="1080" w:type="dxa"/>
            <w:tcBorders>
              <w:top w:val="single" w:color="auto" w:sz="4" w:space="0"/>
              <w:left w:val="single" w:color="auto" w:sz="8" w:space="0"/>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p>
        </w:tc>
      </w:tr>
      <w:tr>
        <w:tblPrEx>
          <w:tblCellMar>
            <w:top w:w="0" w:type="dxa"/>
            <w:left w:w="108" w:type="dxa"/>
            <w:bottom w:w="0" w:type="dxa"/>
            <w:right w:w="108" w:type="dxa"/>
          </w:tblCellMar>
        </w:tblPrEx>
        <w:trPr>
          <w:trHeight w:val="9" w:hRule="atLeast"/>
        </w:trPr>
        <w:tc>
          <w:tcPr>
            <w:tcW w:w="1080" w:type="dxa"/>
            <w:tcBorders>
              <w:top w:val="single" w:color="auto" w:sz="4" w:space="0"/>
              <w:left w:val="single" w:color="auto" w:sz="8" w:space="0"/>
              <w:bottom w:val="nil"/>
              <w:right w:val="single" w:color="auto" w:sz="8" w:space="0"/>
            </w:tcBorders>
            <w:shd w:val="clear" w:color="auto" w:fill="auto"/>
            <w:noWrap/>
            <w:vAlign w:val="center"/>
          </w:tcPr>
          <w:p>
            <w:pPr>
              <w:jc w:val="center"/>
              <w:rPr>
                <w:rFonts w:cs="宋体" w:asciiTheme="minorEastAsia" w:hAnsiTheme="minorEastAsia"/>
                <w:color w:val="000000"/>
                <w:kern w:val="0"/>
                <w:sz w:val="22"/>
              </w:rPr>
            </w:pPr>
          </w:p>
        </w:tc>
        <w:tc>
          <w:tcPr>
            <w:tcW w:w="1080" w:type="dxa"/>
            <w:tcBorders>
              <w:top w:val="single" w:color="auto" w:sz="4" w:space="0"/>
              <w:left w:val="nil"/>
              <w:bottom w:val="nil"/>
              <w:right w:val="single" w:color="auto" w:sz="8" w:space="0"/>
            </w:tcBorders>
            <w:shd w:val="clear" w:color="auto" w:fill="auto"/>
            <w:vAlign w:val="center"/>
          </w:tcPr>
          <w:p>
            <w:pPr>
              <w:jc w:val="center"/>
              <w:rPr>
                <w:rFonts w:cs="宋体" w:asciiTheme="minorEastAsia" w:hAnsiTheme="minorEastAsia"/>
                <w:color w:val="000000"/>
                <w:kern w:val="0"/>
                <w:sz w:val="22"/>
              </w:rPr>
            </w:pPr>
          </w:p>
        </w:tc>
        <w:tc>
          <w:tcPr>
            <w:tcW w:w="3060" w:type="dxa"/>
            <w:tcBorders>
              <w:top w:val="single" w:color="auto" w:sz="4" w:space="0"/>
              <w:left w:val="nil"/>
              <w:bottom w:val="nil"/>
              <w:right w:val="single" w:color="auto" w:sz="8" w:space="0"/>
            </w:tcBorders>
            <w:shd w:val="clear" w:color="auto" w:fill="auto"/>
            <w:vAlign w:val="center"/>
          </w:tcPr>
          <w:p>
            <w:pPr>
              <w:jc w:val="left"/>
              <w:rPr>
                <w:rFonts w:cs="宋体" w:asciiTheme="minorEastAsia" w:hAnsiTheme="minorEastAsia"/>
                <w:color w:val="000000"/>
                <w:kern w:val="0"/>
                <w:sz w:val="22"/>
              </w:rPr>
            </w:pPr>
          </w:p>
        </w:tc>
        <w:tc>
          <w:tcPr>
            <w:tcW w:w="1080" w:type="dxa"/>
            <w:tcBorders>
              <w:top w:val="single" w:color="auto" w:sz="4" w:space="0"/>
              <w:left w:val="nil"/>
              <w:bottom w:val="nil"/>
              <w:right w:val="single" w:color="auto" w:sz="8" w:space="0"/>
            </w:tcBorders>
            <w:shd w:val="clear" w:color="auto" w:fill="auto"/>
            <w:noWrap/>
            <w:vAlign w:val="center"/>
          </w:tcPr>
          <w:p>
            <w:pPr>
              <w:jc w:val="center"/>
              <w:rPr>
                <w:rFonts w:cs="宋体" w:asciiTheme="minorEastAsia" w:hAnsiTheme="minorEastAsia"/>
                <w:color w:val="000000"/>
                <w:kern w:val="0"/>
                <w:sz w:val="22"/>
              </w:rPr>
            </w:pPr>
          </w:p>
        </w:tc>
        <w:tc>
          <w:tcPr>
            <w:tcW w:w="3420" w:type="dxa"/>
            <w:tcBorders>
              <w:top w:val="single" w:color="auto" w:sz="4" w:space="0"/>
              <w:left w:val="nil"/>
              <w:bottom w:val="nil"/>
              <w:right w:val="single" w:color="auto" w:sz="8" w:space="0"/>
            </w:tcBorders>
            <w:shd w:val="clear" w:color="auto" w:fill="auto"/>
            <w:vAlign w:val="center"/>
          </w:tcPr>
          <w:p>
            <w:pPr>
              <w:jc w:val="left"/>
              <w:rPr>
                <w:rFonts w:cs="宋体" w:asciiTheme="minorEastAsia" w:hAnsiTheme="minorEastAsia"/>
                <w:color w:val="000000"/>
                <w:kern w:val="0"/>
                <w:sz w:val="22"/>
              </w:rPr>
            </w:pPr>
          </w:p>
        </w:tc>
        <w:tc>
          <w:tcPr>
            <w:tcW w:w="3240" w:type="dxa"/>
            <w:gridSpan w:val="3"/>
            <w:tcBorders>
              <w:top w:val="single" w:color="auto" w:sz="4" w:space="0"/>
              <w:left w:val="nil"/>
              <w:bottom w:val="nil"/>
              <w:right w:val="single" w:color="000000" w:sz="8" w:space="0"/>
            </w:tcBorders>
            <w:shd w:val="clear" w:color="auto" w:fill="auto"/>
            <w:noWrap/>
            <w:vAlign w:val="center"/>
          </w:tcPr>
          <w:p>
            <w:pPr>
              <w:jc w:val="center"/>
              <w:rPr>
                <w:rFonts w:cs="宋体" w:asciiTheme="minorEastAsia" w:hAnsiTheme="minorEastAsia"/>
                <w:color w:val="000000"/>
                <w:kern w:val="0"/>
                <w:sz w:val="22"/>
              </w:rPr>
            </w:pPr>
          </w:p>
        </w:tc>
        <w:tc>
          <w:tcPr>
            <w:tcW w:w="1080" w:type="dxa"/>
            <w:tcBorders>
              <w:top w:val="single" w:color="auto" w:sz="4" w:space="0"/>
              <w:left w:val="nil"/>
              <w:bottom w:val="nil"/>
              <w:right w:val="nil"/>
            </w:tcBorders>
            <w:shd w:val="clear" w:color="auto" w:fill="auto"/>
            <w:vAlign w:val="center"/>
          </w:tcPr>
          <w:p>
            <w:pPr>
              <w:jc w:val="center"/>
              <w:rPr>
                <w:rFonts w:cs="宋体" w:asciiTheme="minorEastAsia" w:hAnsiTheme="minorEastAsia"/>
                <w:color w:val="000000"/>
                <w:kern w:val="0"/>
                <w:sz w:val="22"/>
              </w:rPr>
            </w:pPr>
          </w:p>
        </w:tc>
        <w:tc>
          <w:tcPr>
            <w:tcW w:w="1080" w:type="dxa"/>
            <w:tcBorders>
              <w:top w:val="single" w:color="auto" w:sz="4" w:space="0"/>
              <w:left w:val="single" w:color="auto" w:sz="8" w:space="0"/>
              <w:bottom w:val="nil"/>
              <w:right w:val="single" w:color="auto" w:sz="8" w:space="0"/>
            </w:tcBorders>
            <w:shd w:val="clear" w:color="auto" w:fill="auto"/>
            <w:vAlign w:val="center"/>
          </w:tcPr>
          <w:p>
            <w:pPr>
              <w:jc w:val="left"/>
              <w:rPr>
                <w:rFonts w:cs="宋体" w:asciiTheme="minorEastAsia" w:hAnsiTheme="minorEastAsia"/>
                <w:color w:val="000000"/>
                <w:kern w:val="0"/>
                <w:sz w:val="22"/>
              </w:rPr>
            </w:pPr>
          </w:p>
        </w:tc>
      </w:tr>
      <w:tr>
        <w:tblPrEx>
          <w:tblCellMar>
            <w:top w:w="0" w:type="dxa"/>
            <w:left w:w="108" w:type="dxa"/>
            <w:bottom w:w="0" w:type="dxa"/>
            <w:right w:w="108" w:type="dxa"/>
          </w:tblCellMar>
        </w:tblPrEx>
        <w:trPr>
          <w:trHeight w:val="686" w:hRule="atLeast"/>
        </w:trPr>
        <w:tc>
          <w:tcPr>
            <w:tcW w:w="1080" w:type="dxa"/>
            <w:tcBorders>
              <w:top w:val="single" w:color="auto" w:sz="8" w:space="0"/>
              <w:left w:val="single" w:color="auto" w:sz="8" w:space="0"/>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4</w:t>
            </w:r>
          </w:p>
        </w:tc>
        <w:tc>
          <w:tcPr>
            <w:tcW w:w="108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研究生导师</w:t>
            </w:r>
          </w:p>
        </w:tc>
        <w:tc>
          <w:tcPr>
            <w:tcW w:w="3060"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认真贯彻落实“立德树人” ，坚持把社会主义核心价值体系融入研究生教育全过程。教育研究生坚持正确的政治方向，自觉遵守国家法律和校规校纪，引导研究生树立正确的世界观、人生观与价值观，养成良好的道德品质。研究生导师经个人申请，</w:t>
            </w:r>
            <w:r>
              <w:rPr>
                <w:rFonts w:hint="eastAsia" w:cs="宋体" w:asciiTheme="minorEastAsia" w:hAnsiTheme="minorEastAsia"/>
                <w:color w:val="000000"/>
                <w:kern w:val="0"/>
                <w:sz w:val="22"/>
                <w:lang w:eastAsia="zh-CN"/>
              </w:rPr>
              <w:t>学院</w:t>
            </w:r>
            <w:r>
              <w:rPr>
                <w:rFonts w:hint="eastAsia" w:cs="宋体" w:asciiTheme="minorEastAsia" w:hAnsiTheme="minorEastAsia"/>
                <w:color w:val="000000"/>
                <w:kern w:val="0"/>
                <w:sz w:val="22"/>
              </w:rPr>
              <w:t>学位评定分委员会初选和学校学位评定委员会评定，具体以当年《</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研究生综合导师招聘通知》为准。</w:t>
            </w:r>
          </w:p>
        </w:tc>
        <w:tc>
          <w:tcPr>
            <w:tcW w:w="1080" w:type="dxa"/>
            <w:tcBorders>
              <w:top w:val="single" w:color="auto" w:sz="8" w:space="0"/>
              <w:left w:val="nil"/>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能较好地完成《杭州师范大学研究生指导教师管理办法》及《关于进一步规范</w:t>
            </w:r>
            <w:r>
              <w:rPr>
                <w:rFonts w:hint="eastAsia" w:cs="宋体" w:asciiTheme="minorEastAsia" w:hAnsiTheme="minorEastAsia"/>
                <w:color w:val="000000"/>
                <w:kern w:val="0"/>
                <w:sz w:val="22"/>
                <w:lang w:eastAsia="zh-CN"/>
              </w:rPr>
              <w:t>护理学院</w:t>
            </w:r>
            <w:r>
              <w:rPr>
                <w:rFonts w:hint="eastAsia" w:cs="宋体" w:asciiTheme="minorEastAsia" w:hAnsiTheme="minorEastAsia"/>
                <w:color w:val="000000"/>
                <w:kern w:val="0"/>
                <w:sz w:val="22"/>
              </w:rPr>
              <w:t>研究生培养管理的若干实施意见》中各项工作要求。</w:t>
            </w:r>
          </w:p>
        </w:tc>
        <w:tc>
          <w:tcPr>
            <w:tcW w:w="324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2/人·年</w:t>
            </w:r>
          </w:p>
        </w:tc>
        <w:tc>
          <w:tcPr>
            <w:tcW w:w="1080" w:type="dxa"/>
            <w:tcBorders>
              <w:top w:val="single" w:color="auto" w:sz="8" w:space="0"/>
              <w:left w:val="nil"/>
              <w:bottom w:val="single" w:color="auto" w:sz="8" w:space="0"/>
              <w:right w:val="single" w:color="auto" w:sz="4"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学科办</w:t>
            </w:r>
          </w:p>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研工办</w:t>
            </w:r>
          </w:p>
        </w:tc>
        <w:tc>
          <w:tcPr>
            <w:tcW w:w="1080" w:type="dxa"/>
            <w:tcBorders>
              <w:top w:val="single" w:color="auto" w:sz="8" w:space="0"/>
              <w:left w:val="single" w:color="auto" w:sz="4" w:space="0"/>
              <w:bottom w:val="single" w:color="auto" w:sz="8" w:space="0"/>
              <w:right w:val="single" w:color="auto" w:sz="8" w:space="0"/>
            </w:tcBorders>
            <w:shd w:val="clear" w:color="auto" w:fill="auto"/>
            <w:vAlign w:val="center"/>
          </w:tcPr>
          <w:p>
            <w:pPr>
              <w:widowControl/>
              <w:jc w:val="left"/>
              <w:rPr>
                <w:rFonts w:cs="宋体" w:asciiTheme="minorEastAsia" w:hAnsiTheme="minorEastAsia"/>
                <w:color w:val="FF0000"/>
                <w:kern w:val="0"/>
                <w:sz w:val="22"/>
              </w:rPr>
            </w:pPr>
          </w:p>
        </w:tc>
      </w:tr>
      <w:tr>
        <w:tblPrEx>
          <w:tblCellMar>
            <w:top w:w="0" w:type="dxa"/>
            <w:left w:w="108" w:type="dxa"/>
            <w:bottom w:w="0" w:type="dxa"/>
            <w:right w:w="108" w:type="dxa"/>
          </w:tblCellMar>
        </w:tblPrEx>
        <w:trPr>
          <w:trHeight w:val="2685" w:hRule="atLeast"/>
        </w:trPr>
        <w:tc>
          <w:tcPr>
            <w:tcW w:w="1080" w:type="dxa"/>
            <w:tcBorders>
              <w:top w:val="nil"/>
              <w:left w:val="single" w:color="auto" w:sz="8" w:space="0"/>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5</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学生党支部书记</w:t>
            </w:r>
          </w:p>
        </w:tc>
        <w:tc>
          <w:tcPr>
            <w:tcW w:w="306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中共党员，党龄5年以上，对党忠诚，理想信念坚定，模范遵守党的政治纪律。学生党支部书记根据当年支部设立情况及工作需要，由所在教工支部推荐，党委任命，有党支部工作经验者优先。</w:t>
            </w:r>
          </w:p>
        </w:tc>
        <w:tc>
          <w:tcPr>
            <w:tcW w:w="1080" w:type="dxa"/>
            <w:tcBorders>
              <w:top w:val="nil"/>
              <w:left w:val="nil"/>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恪守师德师风，关爱学生。能及时传达、学习、贯彻上级党组织的决议决定，完成上级党组织安排的各项任务。认真做好组织发展工作，严格按照标准发展党员，程序规范，资料完备。模范践行“两学一做”，按要求执行“三会一课”，认真落实党支部组织生活会制度及党员固定活动日制度。</w:t>
            </w:r>
          </w:p>
        </w:tc>
        <w:tc>
          <w:tcPr>
            <w:tcW w:w="3240" w:type="dxa"/>
            <w:gridSpan w:val="3"/>
            <w:tcBorders>
              <w:top w:val="nil"/>
              <w:left w:val="nil"/>
              <w:bottom w:val="single" w:color="auto" w:sz="8"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20/年+5</w:t>
            </w:r>
          </w:p>
        </w:tc>
        <w:tc>
          <w:tcPr>
            <w:tcW w:w="1080" w:type="dxa"/>
            <w:tcBorders>
              <w:top w:val="nil"/>
              <w:left w:val="nil"/>
              <w:bottom w:val="single" w:color="auto" w:sz="8" w:space="0"/>
              <w:right w:val="single" w:color="auto" w:sz="4"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党政办</w:t>
            </w:r>
          </w:p>
        </w:tc>
        <w:tc>
          <w:tcPr>
            <w:tcW w:w="1080" w:type="dxa"/>
            <w:tcBorders>
              <w:top w:val="nil"/>
              <w:left w:val="single" w:color="auto" w:sz="4" w:space="0"/>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考核合格者，每年度计 20分，获校级优秀党支部书记及以上荣誉再加 5 分</w:t>
            </w:r>
          </w:p>
        </w:tc>
      </w:tr>
      <w:tr>
        <w:tblPrEx>
          <w:tblCellMar>
            <w:top w:w="0" w:type="dxa"/>
            <w:left w:w="108" w:type="dxa"/>
            <w:bottom w:w="0" w:type="dxa"/>
            <w:right w:w="108" w:type="dxa"/>
          </w:tblCellMar>
        </w:tblPrEx>
        <w:trPr>
          <w:trHeight w:val="3270" w:hRule="atLeast"/>
        </w:trPr>
        <w:tc>
          <w:tcPr>
            <w:tcW w:w="1080" w:type="dxa"/>
            <w:tcBorders>
              <w:top w:val="nil"/>
              <w:left w:val="single" w:color="auto" w:sz="8" w:space="0"/>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6</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学生社团指导教师</w:t>
            </w:r>
          </w:p>
        </w:tc>
        <w:tc>
          <w:tcPr>
            <w:tcW w:w="306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学生社团指导教师原则上由有关专业背景或服务需求的单位和教师指导，根据当年社团设立情况及工作需，由社团提出聘请建议，自主报名与团委推荐相结合，择优选聘。</w:t>
            </w:r>
          </w:p>
        </w:tc>
        <w:tc>
          <w:tcPr>
            <w:tcW w:w="1080" w:type="dxa"/>
            <w:tcBorders>
              <w:top w:val="nil"/>
              <w:left w:val="nil"/>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了解并遵守有关杭州师范大学学生社团的各项章程、管理办法；了解社团开展的活动及社团内部动态，对涉及学校及组织名誉的活动严格把关，加强监督，承担活动的审批责任；把握社团发展方向，引领社团健康和谐、可持续性地发展；监督社团的财务状况，定期审核帐目；每学期至少参加该社团活动两次，出席与指导社团会员大会的召开和负责人的推选。</w:t>
            </w:r>
          </w:p>
        </w:tc>
        <w:tc>
          <w:tcPr>
            <w:tcW w:w="324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10/年+5</w:t>
            </w:r>
          </w:p>
        </w:tc>
        <w:tc>
          <w:tcPr>
            <w:tcW w:w="1080" w:type="dxa"/>
            <w:tcBorders>
              <w:top w:val="nil"/>
              <w:left w:val="nil"/>
              <w:bottom w:val="single" w:color="auto" w:sz="8" w:space="0"/>
              <w:right w:val="single" w:color="auto" w:sz="4"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团委</w:t>
            </w:r>
          </w:p>
        </w:tc>
        <w:tc>
          <w:tcPr>
            <w:tcW w:w="1080" w:type="dxa"/>
            <w:tcBorders>
              <w:top w:val="nil"/>
              <w:left w:val="single" w:color="auto" w:sz="4" w:space="0"/>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考核合格者，每年度计10分，获学校优秀指导教师或指导的社团获评十佳社团再加 5 分</w:t>
            </w:r>
          </w:p>
        </w:tc>
      </w:tr>
      <w:tr>
        <w:tblPrEx>
          <w:tblCellMar>
            <w:top w:w="0" w:type="dxa"/>
            <w:left w:w="108" w:type="dxa"/>
            <w:bottom w:w="0" w:type="dxa"/>
            <w:right w:w="108" w:type="dxa"/>
          </w:tblCellMar>
        </w:tblPrEx>
        <w:trPr>
          <w:trHeight w:val="2505" w:hRule="atLeast"/>
        </w:trPr>
        <w:tc>
          <w:tcPr>
            <w:tcW w:w="1080" w:type="dxa"/>
            <w:tcBorders>
              <w:top w:val="nil"/>
              <w:left w:val="single" w:color="auto" w:sz="8" w:space="0"/>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7</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社会实践指导教师</w:t>
            </w:r>
          </w:p>
        </w:tc>
        <w:tc>
          <w:tcPr>
            <w:tcW w:w="306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根据当年校团委社会实践工作要求及</w:t>
            </w:r>
            <w:r>
              <w:rPr>
                <w:rFonts w:hint="eastAsia" w:cs="宋体" w:asciiTheme="minorEastAsia" w:hAnsiTheme="minorEastAsia"/>
                <w:color w:val="000000"/>
                <w:kern w:val="0"/>
                <w:sz w:val="22"/>
                <w:lang w:eastAsia="zh-CN"/>
              </w:rPr>
              <w:t>学院</w:t>
            </w:r>
            <w:r>
              <w:rPr>
                <w:rFonts w:hint="eastAsia" w:cs="宋体" w:asciiTheme="minorEastAsia" w:hAnsiTheme="minorEastAsia"/>
                <w:color w:val="000000"/>
                <w:kern w:val="0"/>
                <w:sz w:val="22"/>
              </w:rPr>
              <w:t>立项情况选聘，自主报名与团委推荐相结合，择优录取。</w:t>
            </w:r>
          </w:p>
        </w:tc>
        <w:tc>
          <w:tcPr>
            <w:tcW w:w="1080" w:type="dxa"/>
            <w:tcBorders>
              <w:top w:val="nil"/>
              <w:left w:val="nil"/>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nil"/>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指导教师全权负责社会实践团队的申报立项、开展实践和总结工作；需掌握团队活动的进展情况，加强团队成员的日常教育管理，认真落实各项安全措施。遇意外事件及时采取措施，保证团队的安全和实践活动的顺利进行，确保外出实践师生的人员、财产安全。</w:t>
            </w:r>
          </w:p>
        </w:tc>
        <w:tc>
          <w:tcPr>
            <w:tcW w:w="3240" w:type="dxa"/>
            <w:gridSpan w:val="3"/>
            <w:tcBorders>
              <w:top w:val="single" w:color="auto" w:sz="8" w:space="0"/>
              <w:left w:val="nil"/>
              <w:bottom w:val="single" w:color="auto" w:sz="8" w:space="0"/>
              <w:right w:val="single" w:color="000000"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2/天+5</w:t>
            </w:r>
          </w:p>
        </w:tc>
        <w:tc>
          <w:tcPr>
            <w:tcW w:w="1080" w:type="dxa"/>
            <w:tcBorders>
              <w:top w:val="nil"/>
              <w:left w:val="nil"/>
              <w:bottom w:val="single" w:color="auto" w:sz="8" w:space="0"/>
              <w:right w:val="single" w:color="auto" w:sz="4"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团委</w:t>
            </w:r>
          </w:p>
        </w:tc>
        <w:tc>
          <w:tcPr>
            <w:tcW w:w="1080" w:type="dxa"/>
            <w:tcBorders>
              <w:top w:val="nil"/>
              <w:left w:val="single" w:color="auto" w:sz="4" w:space="0"/>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教师带队每天计2分。项目获各级荣誉或获评优秀指导教师的增加 5 分</w:t>
            </w:r>
          </w:p>
        </w:tc>
      </w:tr>
      <w:tr>
        <w:tblPrEx>
          <w:tblCellMar>
            <w:top w:w="0" w:type="dxa"/>
            <w:left w:w="108" w:type="dxa"/>
            <w:bottom w:w="0" w:type="dxa"/>
            <w:right w:w="108" w:type="dxa"/>
          </w:tblCellMar>
        </w:tblPrEx>
        <w:trPr>
          <w:trHeight w:val="420" w:hRule="atLeast"/>
        </w:trPr>
        <w:tc>
          <w:tcPr>
            <w:tcW w:w="108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8</w:t>
            </w:r>
          </w:p>
        </w:tc>
        <w:tc>
          <w:tcPr>
            <w:tcW w:w="108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创新创业指导教师</w:t>
            </w:r>
          </w:p>
        </w:tc>
        <w:tc>
          <w:tcPr>
            <w:tcW w:w="306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对学生进行与创新训练有关的创新思维、创新方法、创业训练、项目管理和企业管理等指导。指导教师与学生实行双向选择，最终以当年学校立项情况为准。</w:t>
            </w:r>
          </w:p>
        </w:tc>
        <w:tc>
          <w:tcPr>
            <w:tcW w:w="108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vMerge w:val="restart"/>
            <w:tcBorders>
              <w:top w:val="single" w:color="auto" w:sz="8" w:space="0"/>
              <w:left w:val="single" w:color="auto" w:sz="8" w:space="0"/>
              <w:right w:val="single" w:color="auto" w:sz="8" w:space="0"/>
            </w:tcBorders>
            <w:shd w:val="clear" w:color="auto" w:fill="auto"/>
            <w:vAlign w:val="center"/>
          </w:tcPr>
          <w:p>
            <w:pPr>
              <w:jc w:val="left"/>
              <w:rPr>
                <w:rFonts w:cs="宋体" w:asciiTheme="minorEastAsia" w:hAnsiTheme="minorEastAsia"/>
                <w:color w:val="000000"/>
                <w:kern w:val="0"/>
                <w:sz w:val="22"/>
              </w:rPr>
            </w:pPr>
            <w:r>
              <w:rPr>
                <w:rFonts w:hint="eastAsia" w:cs="宋体" w:asciiTheme="minorEastAsia" w:hAnsiTheme="minorEastAsia"/>
                <w:color w:val="000000"/>
                <w:kern w:val="0"/>
                <w:sz w:val="22"/>
              </w:rPr>
              <w:t>在指导过程中，注重发挥学生的主动性和创造性，引导学生自主完成研究计划，注重培养学生综合素质。要加强对学生科研成果培育过程的监督与指导，对学生科研成果的观点、论据和实验数据等严格把关，强化学术规范要求，严禁学术腐败，保证成果的独创性,保证学生科研成果质量。需加入</w:t>
            </w:r>
            <w:r>
              <w:rPr>
                <w:rFonts w:hint="eastAsia" w:cs="宋体" w:asciiTheme="minorEastAsia" w:hAnsiTheme="minorEastAsia"/>
                <w:color w:val="000000"/>
                <w:kern w:val="0"/>
                <w:sz w:val="22"/>
                <w:lang w:eastAsia="zh-CN"/>
              </w:rPr>
              <w:t>学院</w:t>
            </w:r>
            <w:r>
              <w:rPr>
                <w:rFonts w:hint="eastAsia" w:cs="宋体" w:asciiTheme="minorEastAsia" w:hAnsiTheme="minorEastAsia"/>
                <w:color w:val="000000"/>
                <w:kern w:val="0"/>
                <w:sz w:val="22"/>
              </w:rPr>
              <w:t>创新</w:t>
            </w:r>
          </w:p>
        </w:tc>
        <w:tc>
          <w:tcPr>
            <w:tcW w:w="108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创新创业项目结题</w:t>
            </w:r>
          </w:p>
        </w:tc>
        <w:tc>
          <w:tcPr>
            <w:tcW w:w="1080" w:type="dxa"/>
            <w:tcBorders>
              <w:top w:val="single" w:color="auto" w:sz="8" w:space="0"/>
              <w:left w:val="nil"/>
              <w:bottom w:val="single" w:color="auto" w:sz="8"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国家级</w:t>
            </w:r>
          </w:p>
        </w:tc>
        <w:tc>
          <w:tcPr>
            <w:tcW w:w="10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6</w:t>
            </w:r>
          </w:p>
        </w:tc>
        <w:tc>
          <w:tcPr>
            <w:tcW w:w="1080" w:type="dxa"/>
            <w:tcBorders>
              <w:top w:val="single" w:color="auto" w:sz="8" w:space="0"/>
              <w:left w:val="nil"/>
              <w:bottom w:val="single" w:color="auto" w:sz="8"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教务科</w:t>
            </w:r>
          </w:p>
        </w:tc>
        <w:tc>
          <w:tcPr>
            <w:tcW w:w="1080" w:type="dxa"/>
            <w:vMerge w:val="restart"/>
            <w:tcBorders>
              <w:top w:val="single" w:color="auto" w:sz="8" w:space="0"/>
              <w:left w:val="single" w:color="auto" w:sz="8" w:space="0"/>
              <w:bottom w:val="single" w:color="000000"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项目需按结题要求完成结题</w:t>
            </w:r>
          </w:p>
        </w:tc>
      </w:tr>
      <w:tr>
        <w:tblPrEx>
          <w:tblCellMar>
            <w:top w:w="0" w:type="dxa"/>
            <w:left w:w="108" w:type="dxa"/>
            <w:bottom w:w="0" w:type="dxa"/>
            <w:right w:w="108" w:type="dxa"/>
          </w:tblCellMar>
        </w:tblPrEx>
        <w:trPr>
          <w:trHeight w:val="420" w:hRule="atLeast"/>
        </w:trPr>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420" w:type="dxa"/>
            <w:vMerge w:val="continue"/>
            <w:tcBorders>
              <w:left w:val="single" w:color="auto"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tcBorders>
              <w:top w:val="nil"/>
              <w:left w:val="nil"/>
              <w:bottom w:val="single" w:color="auto" w:sz="8"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省级</w:t>
            </w:r>
          </w:p>
        </w:tc>
        <w:tc>
          <w:tcPr>
            <w:tcW w:w="1080" w:type="dxa"/>
            <w:tcBorders>
              <w:top w:val="nil"/>
              <w:left w:val="single" w:color="auto" w:sz="8" w:space="0"/>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5</w:t>
            </w:r>
          </w:p>
        </w:tc>
        <w:tc>
          <w:tcPr>
            <w:tcW w:w="1080" w:type="dxa"/>
            <w:vMerge w:val="restart"/>
            <w:tcBorders>
              <w:top w:val="nil"/>
              <w:left w:val="nil"/>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团委</w:t>
            </w: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r>
      <w:tr>
        <w:tblPrEx>
          <w:tblCellMar>
            <w:top w:w="0" w:type="dxa"/>
            <w:left w:w="108" w:type="dxa"/>
            <w:bottom w:w="0" w:type="dxa"/>
            <w:right w:w="108" w:type="dxa"/>
          </w:tblCellMar>
        </w:tblPrEx>
        <w:trPr>
          <w:trHeight w:val="420" w:hRule="atLeast"/>
        </w:trPr>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420" w:type="dxa"/>
            <w:vMerge w:val="continue"/>
            <w:tcBorders>
              <w:left w:val="single" w:color="auto"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tcBorders>
              <w:top w:val="nil"/>
              <w:left w:val="nil"/>
              <w:bottom w:val="single" w:color="auto" w:sz="8"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校级</w:t>
            </w:r>
          </w:p>
        </w:tc>
        <w:tc>
          <w:tcPr>
            <w:tcW w:w="1080" w:type="dxa"/>
            <w:tcBorders>
              <w:top w:val="nil"/>
              <w:left w:val="single" w:color="auto" w:sz="8" w:space="0"/>
              <w:bottom w:val="single" w:color="auto" w:sz="4"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w:t>
            </w:r>
          </w:p>
        </w:tc>
        <w:tc>
          <w:tcPr>
            <w:tcW w:w="1080" w:type="dxa"/>
            <w:vMerge w:val="continue"/>
            <w:tcBorders>
              <w:left w:val="nil"/>
              <w:bottom w:val="single" w:color="auto" w:sz="4" w:space="0"/>
              <w:right w:val="nil"/>
            </w:tcBorders>
            <w:shd w:val="clear" w:color="auto" w:fill="auto"/>
            <w:vAlign w:val="center"/>
          </w:tcPr>
          <w:p>
            <w:pPr>
              <w:jc w:val="center"/>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r>
      <w:tr>
        <w:tblPrEx>
          <w:tblCellMar>
            <w:top w:w="0" w:type="dxa"/>
            <w:left w:w="108" w:type="dxa"/>
            <w:bottom w:w="0" w:type="dxa"/>
            <w:right w:w="108" w:type="dxa"/>
          </w:tblCellMar>
        </w:tblPrEx>
        <w:trPr>
          <w:trHeight w:val="435" w:hRule="atLeast"/>
        </w:trPr>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420" w:type="dxa"/>
            <w:vMerge w:val="continue"/>
            <w:tcBorders>
              <w:left w:val="single" w:color="auto" w:sz="8" w:space="0"/>
              <w:right w:val="single" w:color="auto" w:sz="8" w:space="0"/>
            </w:tcBorders>
            <w:vAlign w:val="center"/>
          </w:tcPr>
          <w:p>
            <w:pPr>
              <w:widowControl/>
              <w:jc w:val="left"/>
              <w:rPr>
                <w:rFonts w:cs="宋体" w:asciiTheme="minorEastAsia" w:hAnsiTheme="minorEastAsia"/>
                <w:color w:val="000000"/>
                <w:kern w:val="0"/>
                <w:sz w:val="22"/>
              </w:rPr>
            </w:pPr>
          </w:p>
        </w:tc>
        <w:tc>
          <w:tcPr>
            <w:tcW w:w="2160" w:type="dxa"/>
            <w:gridSpan w:val="2"/>
            <w:tcBorders>
              <w:top w:val="single" w:color="auto" w:sz="8" w:space="0"/>
              <w:left w:val="nil"/>
              <w:bottom w:val="nil"/>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国家发明专利</w:t>
            </w:r>
          </w:p>
        </w:tc>
        <w:tc>
          <w:tcPr>
            <w:tcW w:w="1080" w:type="dxa"/>
            <w:tcBorders>
              <w:top w:val="single" w:color="auto" w:sz="4" w:space="0"/>
              <w:left w:val="single" w:color="auto" w:sz="8" w:space="0"/>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7</w:t>
            </w:r>
          </w:p>
        </w:tc>
        <w:tc>
          <w:tcPr>
            <w:tcW w:w="1080" w:type="dxa"/>
            <w:vMerge w:val="restart"/>
            <w:tcBorders>
              <w:top w:val="single" w:color="auto" w:sz="4" w:space="0"/>
              <w:left w:val="single" w:color="auto" w:sz="8" w:space="0"/>
              <w:right w:val="nil"/>
            </w:tcBorders>
            <w:shd w:val="clear" w:color="auto" w:fill="auto"/>
            <w:noWrap/>
            <w:vAlign w:val="center"/>
          </w:tcPr>
          <w:p>
            <w:pPr>
              <w:jc w:val="center"/>
              <w:rPr>
                <w:rFonts w:cs="宋体" w:asciiTheme="minorEastAsia" w:hAnsiTheme="minorEastAsia"/>
                <w:color w:val="000000"/>
                <w:kern w:val="0"/>
                <w:sz w:val="22"/>
              </w:rPr>
            </w:pPr>
            <w:r>
              <w:rPr>
                <w:rFonts w:hint="eastAsia" w:cs="宋体" w:asciiTheme="minorEastAsia" w:hAnsiTheme="minorEastAsia"/>
                <w:color w:val="000000"/>
                <w:kern w:val="0"/>
                <w:sz w:val="22"/>
              </w:rPr>
              <w:t>团委</w:t>
            </w:r>
          </w:p>
        </w:tc>
        <w:tc>
          <w:tcPr>
            <w:tcW w:w="1080" w:type="dxa"/>
            <w:vMerge w:val="restart"/>
            <w:tcBorders>
              <w:top w:val="nil"/>
              <w:left w:val="single" w:color="auto" w:sz="8" w:space="0"/>
              <w:bottom w:val="single" w:color="000000"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提供专利证书</w:t>
            </w:r>
          </w:p>
        </w:tc>
      </w:tr>
      <w:tr>
        <w:tblPrEx>
          <w:tblCellMar>
            <w:top w:w="0" w:type="dxa"/>
            <w:left w:w="108" w:type="dxa"/>
            <w:bottom w:w="0" w:type="dxa"/>
            <w:right w:w="108" w:type="dxa"/>
          </w:tblCellMar>
        </w:tblPrEx>
        <w:trPr>
          <w:trHeight w:val="435" w:hRule="atLeast"/>
        </w:trPr>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420" w:type="dxa"/>
            <w:vMerge w:val="continue"/>
            <w:tcBorders>
              <w:left w:val="single" w:color="auto" w:sz="8" w:space="0"/>
              <w:right w:val="single" w:color="auto" w:sz="8" w:space="0"/>
            </w:tcBorders>
            <w:vAlign w:val="center"/>
          </w:tcPr>
          <w:p>
            <w:pPr>
              <w:widowControl/>
              <w:jc w:val="left"/>
              <w:rPr>
                <w:rFonts w:cs="宋体" w:asciiTheme="minorEastAsia" w:hAnsiTheme="minorEastAsia"/>
                <w:color w:val="000000"/>
                <w:kern w:val="0"/>
                <w:sz w:val="22"/>
              </w:rPr>
            </w:pPr>
          </w:p>
        </w:tc>
        <w:tc>
          <w:tcPr>
            <w:tcW w:w="2160" w:type="dxa"/>
            <w:gridSpan w:val="2"/>
            <w:tcBorders>
              <w:top w:val="single" w:color="auto" w:sz="8" w:space="0"/>
              <w:left w:val="nil"/>
              <w:bottom w:val="single" w:color="auto" w:sz="8" w:space="0"/>
              <w:right w:val="single" w:color="000000"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其他专利</w:t>
            </w:r>
          </w:p>
        </w:tc>
        <w:tc>
          <w:tcPr>
            <w:tcW w:w="1080" w:type="dxa"/>
            <w:tcBorders>
              <w:top w:val="nil"/>
              <w:left w:val="nil"/>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3</w:t>
            </w:r>
          </w:p>
        </w:tc>
        <w:tc>
          <w:tcPr>
            <w:tcW w:w="1080" w:type="dxa"/>
            <w:vMerge w:val="continue"/>
            <w:tcBorders>
              <w:left w:val="single" w:color="auto" w:sz="8" w:space="0"/>
              <w:right w:val="nil"/>
            </w:tcBorders>
            <w:vAlign w:val="center"/>
          </w:tcPr>
          <w:p>
            <w:pPr>
              <w:widowControl/>
              <w:jc w:val="left"/>
              <w:rPr>
                <w:rFonts w:cs="宋体" w:asciiTheme="minorEastAsia" w:hAnsiTheme="minorEastAsia"/>
                <w:color w:val="000000"/>
                <w:kern w:val="0"/>
                <w:sz w:val="22"/>
              </w:rPr>
            </w:pPr>
          </w:p>
        </w:tc>
        <w:tc>
          <w:tcPr>
            <w:tcW w:w="1080" w:type="dxa"/>
            <w:vMerge w:val="continue"/>
            <w:tcBorders>
              <w:top w:val="nil"/>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r>
      <w:tr>
        <w:tblPrEx>
          <w:tblCellMar>
            <w:top w:w="0" w:type="dxa"/>
            <w:left w:w="108" w:type="dxa"/>
            <w:bottom w:w="0" w:type="dxa"/>
            <w:right w:w="108" w:type="dxa"/>
          </w:tblCellMar>
        </w:tblPrEx>
        <w:trPr>
          <w:trHeight w:val="435" w:hRule="atLeast"/>
        </w:trPr>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420" w:type="dxa"/>
            <w:vMerge w:val="continue"/>
            <w:tcBorders>
              <w:left w:val="single" w:color="auto" w:sz="8" w:space="0"/>
              <w:right w:val="single" w:color="auto" w:sz="8" w:space="0"/>
            </w:tcBorders>
            <w:vAlign w:val="center"/>
          </w:tcPr>
          <w:p>
            <w:pPr>
              <w:widowControl/>
              <w:jc w:val="left"/>
              <w:rPr>
                <w:rFonts w:cs="宋体" w:asciiTheme="minorEastAsia" w:hAnsiTheme="minorEastAsia"/>
                <w:color w:val="000000"/>
                <w:kern w:val="0"/>
                <w:sz w:val="22"/>
              </w:rPr>
            </w:pPr>
          </w:p>
        </w:tc>
        <w:tc>
          <w:tcPr>
            <w:tcW w:w="2160" w:type="dxa"/>
            <w:gridSpan w:val="2"/>
            <w:tcBorders>
              <w:top w:val="nil"/>
              <w:left w:val="nil"/>
              <w:bottom w:val="single" w:color="auto" w:sz="4"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核心期刊论文</w:t>
            </w:r>
          </w:p>
        </w:tc>
        <w:tc>
          <w:tcPr>
            <w:tcW w:w="1080" w:type="dxa"/>
            <w:tcBorders>
              <w:top w:val="nil"/>
              <w:left w:val="single" w:color="auto" w:sz="8" w:space="0"/>
              <w:bottom w:val="single" w:color="auto" w:sz="4"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7</w:t>
            </w:r>
          </w:p>
        </w:tc>
        <w:tc>
          <w:tcPr>
            <w:tcW w:w="1080" w:type="dxa"/>
            <w:vMerge w:val="continue"/>
            <w:tcBorders>
              <w:left w:val="single" w:color="auto" w:sz="8" w:space="0"/>
              <w:right w:val="nil"/>
            </w:tcBorders>
            <w:vAlign w:val="center"/>
          </w:tcPr>
          <w:p>
            <w:pPr>
              <w:widowControl/>
              <w:jc w:val="left"/>
              <w:rPr>
                <w:rFonts w:cs="宋体" w:asciiTheme="minorEastAsia" w:hAnsiTheme="minorEastAsia"/>
                <w:color w:val="000000"/>
                <w:kern w:val="0"/>
                <w:sz w:val="22"/>
              </w:rPr>
            </w:pPr>
          </w:p>
        </w:tc>
        <w:tc>
          <w:tcPr>
            <w:tcW w:w="1080" w:type="dxa"/>
            <w:vMerge w:val="restart"/>
            <w:tcBorders>
              <w:top w:val="nil"/>
              <w:left w:val="single" w:color="auto" w:sz="8" w:space="0"/>
              <w:right w:val="single" w:color="auto" w:sz="8" w:space="0"/>
            </w:tcBorders>
            <w:shd w:val="clear" w:color="auto" w:fill="auto"/>
            <w:vAlign w:val="center"/>
          </w:tcPr>
          <w:p>
            <w:pPr>
              <w:jc w:val="center"/>
              <w:rPr>
                <w:rFonts w:cs="宋体" w:asciiTheme="minorEastAsia" w:hAnsiTheme="minorEastAsia"/>
                <w:color w:val="000000"/>
                <w:kern w:val="0"/>
                <w:sz w:val="22"/>
              </w:rPr>
            </w:pPr>
            <w:r>
              <w:rPr>
                <w:rFonts w:hint="eastAsia" w:cs="宋体" w:asciiTheme="minorEastAsia" w:hAnsiTheme="minorEastAsia"/>
                <w:color w:val="000000"/>
                <w:kern w:val="0"/>
                <w:sz w:val="22"/>
              </w:rPr>
              <w:t>参考学校期刊目录</w:t>
            </w:r>
          </w:p>
        </w:tc>
      </w:tr>
      <w:tr>
        <w:tblPrEx>
          <w:tblCellMar>
            <w:top w:w="0" w:type="dxa"/>
            <w:left w:w="108" w:type="dxa"/>
            <w:bottom w:w="0" w:type="dxa"/>
            <w:right w:w="108" w:type="dxa"/>
          </w:tblCellMar>
        </w:tblPrEx>
        <w:trPr>
          <w:trHeight w:val="435" w:hRule="atLeast"/>
        </w:trPr>
        <w:tc>
          <w:tcPr>
            <w:tcW w:w="1080" w:type="dxa"/>
            <w:vMerge w:val="continue"/>
            <w:tcBorders>
              <w:top w:val="single" w:color="auto" w:sz="4"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4"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single" w:color="auto" w:sz="4"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4"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420" w:type="dxa"/>
            <w:vMerge w:val="continue"/>
            <w:tcBorders>
              <w:left w:val="single" w:color="auto" w:sz="8" w:space="0"/>
              <w:bottom w:val="single" w:color="auto" w:sz="4" w:space="0"/>
              <w:right w:val="single" w:color="auto" w:sz="8" w:space="0"/>
            </w:tcBorders>
            <w:vAlign w:val="center"/>
          </w:tcPr>
          <w:p>
            <w:pPr>
              <w:jc w:val="left"/>
              <w:rPr>
                <w:rFonts w:cs="宋体" w:asciiTheme="minorEastAsia" w:hAnsiTheme="minorEastAsia"/>
                <w:color w:val="000000"/>
                <w:kern w:val="0"/>
                <w:sz w:val="22"/>
              </w:rPr>
            </w:pPr>
          </w:p>
        </w:tc>
        <w:tc>
          <w:tcPr>
            <w:tcW w:w="2160" w:type="dxa"/>
            <w:gridSpan w:val="2"/>
            <w:tcBorders>
              <w:top w:val="single" w:color="auto" w:sz="4" w:space="0"/>
              <w:left w:val="nil"/>
              <w:bottom w:val="single" w:color="auto" w:sz="4" w:space="0"/>
              <w:right w:val="single" w:color="000000"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普通期刊论文</w:t>
            </w:r>
          </w:p>
        </w:tc>
        <w:tc>
          <w:tcPr>
            <w:tcW w:w="1080" w:type="dxa"/>
            <w:tcBorders>
              <w:top w:val="single" w:color="auto" w:sz="4" w:space="0"/>
              <w:left w:val="nil"/>
              <w:bottom w:val="single" w:color="auto" w:sz="4"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3</w:t>
            </w:r>
          </w:p>
        </w:tc>
        <w:tc>
          <w:tcPr>
            <w:tcW w:w="1080" w:type="dxa"/>
            <w:vMerge w:val="continue"/>
            <w:tcBorders>
              <w:left w:val="single" w:color="auto" w:sz="8" w:space="0"/>
              <w:bottom w:val="single" w:color="auto" w:sz="4" w:space="0"/>
              <w:right w:val="nil"/>
            </w:tcBorders>
            <w:vAlign w:val="center"/>
          </w:tcPr>
          <w:p>
            <w:pPr>
              <w:jc w:val="center"/>
              <w:rPr>
                <w:rFonts w:cs="宋体" w:asciiTheme="minorEastAsia" w:hAnsiTheme="minorEastAsia"/>
                <w:color w:val="000000"/>
                <w:kern w:val="0"/>
                <w:sz w:val="22"/>
              </w:rPr>
            </w:pPr>
          </w:p>
        </w:tc>
        <w:tc>
          <w:tcPr>
            <w:tcW w:w="1080" w:type="dxa"/>
            <w:vMerge w:val="continue"/>
            <w:tcBorders>
              <w:left w:val="single" w:color="auto" w:sz="8" w:space="0"/>
              <w:bottom w:val="single" w:color="auto" w:sz="4" w:space="0"/>
              <w:right w:val="single" w:color="auto" w:sz="8" w:space="0"/>
            </w:tcBorders>
            <w:vAlign w:val="center"/>
          </w:tcPr>
          <w:p>
            <w:pPr>
              <w:jc w:val="center"/>
              <w:rPr>
                <w:rFonts w:cs="宋体" w:asciiTheme="minorEastAsia" w:hAnsiTheme="minorEastAsia"/>
                <w:color w:val="000000"/>
                <w:kern w:val="0"/>
                <w:sz w:val="22"/>
              </w:rPr>
            </w:pPr>
          </w:p>
        </w:tc>
      </w:tr>
      <w:tr>
        <w:tblPrEx>
          <w:tblCellMar>
            <w:top w:w="0" w:type="dxa"/>
            <w:left w:w="108" w:type="dxa"/>
            <w:bottom w:w="0" w:type="dxa"/>
            <w:right w:w="108" w:type="dxa"/>
          </w:tblCellMar>
        </w:tblPrEx>
        <w:trPr>
          <w:trHeight w:val="485" w:hRule="atLeast"/>
        </w:trPr>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06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1080" w:type="dxa"/>
            <w:vMerge w:val="continue"/>
            <w:tcBorders>
              <w:top w:val="single" w:color="auto" w:sz="8" w:space="0"/>
              <w:left w:val="single" w:color="auto" w:sz="8" w:space="0"/>
              <w:bottom w:val="single" w:color="000000" w:sz="8" w:space="0"/>
              <w:right w:val="single" w:color="auto" w:sz="8" w:space="0"/>
            </w:tcBorders>
            <w:vAlign w:val="center"/>
          </w:tcPr>
          <w:p>
            <w:pPr>
              <w:widowControl/>
              <w:jc w:val="left"/>
              <w:rPr>
                <w:rFonts w:cs="宋体" w:asciiTheme="minorEastAsia" w:hAnsiTheme="minorEastAsia"/>
                <w:color w:val="000000"/>
                <w:kern w:val="0"/>
                <w:sz w:val="22"/>
              </w:rPr>
            </w:pPr>
          </w:p>
        </w:tc>
        <w:tc>
          <w:tcPr>
            <w:tcW w:w="3420" w:type="dxa"/>
            <w:tcBorders>
              <w:top w:val="single" w:color="auto" w:sz="4" w:space="0"/>
              <w:left w:val="single" w:color="auto" w:sz="8" w:space="0"/>
              <w:bottom w:val="single" w:color="000000" w:sz="8" w:space="0"/>
              <w:right w:val="single" w:color="auto" w:sz="8" w:space="0"/>
            </w:tcBorders>
            <w:vAlign w:val="center"/>
          </w:tcPr>
          <w:p>
            <w:pPr>
              <w:jc w:val="left"/>
              <w:rPr>
                <w:rFonts w:cs="宋体" w:asciiTheme="minorEastAsia" w:hAnsiTheme="minorEastAsia"/>
                <w:color w:val="000000"/>
                <w:kern w:val="0"/>
                <w:sz w:val="22"/>
              </w:rPr>
            </w:pPr>
            <w:r>
              <w:rPr>
                <w:rFonts w:hint="eastAsia" w:cs="宋体" w:asciiTheme="minorEastAsia" w:hAnsiTheme="minorEastAsia"/>
                <w:color w:val="000000"/>
                <w:kern w:val="0"/>
                <w:sz w:val="22"/>
              </w:rPr>
              <w:t>创业指导教师人才库，每年按要求做好登记。</w:t>
            </w:r>
          </w:p>
        </w:tc>
        <w:tc>
          <w:tcPr>
            <w:tcW w:w="2160" w:type="dxa"/>
            <w:gridSpan w:val="2"/>
            <w:tcBorders>
              <w:top w:val="single" w:color="auto" w:sz="4" w:space="0"/>
              <w:left w:val="nil"/>
              <w:bottom w:val="single" w:color="auto" w:sz="8" w:space="0"/>
              <w:right w:val="nil"/>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注册企业</w:t>
            </w:r>
          </w:p>
        </w:tc>
        <w:tc>
          <w:tcPr>
            <w:tcW w:w="1080" w:type="dxa"/>
            <w:tcBorders>
              <w:top w:val="single" w:color="auto" w:sz="4" w:space="0"/>
              <w:left w:val="single" w:color="auto" w:sz="8" w:space="0"/>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3</w:t>
            </w:r>
          </w:p>
        </w:tc>
        <w:tc>
          <w:tcPr>
            <w:tcW w:w="1080" w:type="dxa"/>
            <w:tcBorders>
              <w:top w:val="single" w:color="auto" w:sz="4" w:space="0"/>
              <w:left w:val="single" w:color="auto" w:sz="8" w:space="0"/>
              <w:bottom w:val="single" w:color="000000" w:sz="8" w:space="0"/>
              <w:right w:val="nil"/>
            </w:tcBorders>
            <w:vAlign w:val="center"/>
          </w:tcPr>
          <w:p>
            <w:pPr>
              <w:jc w:val="center"/>
              <w:rPr>
                <w:rFonts w:cs="宋体" w:asciiTheme="minorEastAsia" w:hAnsiTheme="minorEastAsia"/>
                <w:color w:val="000000"/>
                <w:kern w:val="0"/>
                <w:sz w:val="22"/>
              </w:rPr>
            </w:pPr>
            <w:r>
              <w:rPr>
                <w:rFonts w:hint="eastAsia" w:cs="宋体" w:asciiTheme="minorEastAsia" w:hAnsiTheme="minorEastAsia"/>
                <w:color w:val="000000"/>
                <w:kern w:val="0"/>
                <w:sz w:val="22"/>
              </w:rPr>
              <w:t>团委</w:t>
            </w:r>
          </w:p>
        </w:tc>
        <w:tc>
          <w:tcPr>
            <w:tcW w:w="1080" w:type="dxa"/>
            <w:tcBorders>
              <w:top w:val="single" w:color="auto" w:sz="4" w:space="0"/>
              <w:left w:val="single" w:color="auto" w:sz="8" w:space="0"/>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提供营业执照</w:t>
            </w:r>
          </w:p>
        </w:tc>
      </w:tr>
      <w:tr>
        <w:tblPrEx>
          <w:tblCellMar>
            <w:top w:w="0" w:type="dxa"/>
            <w:left w:w="108" w:type="dxa"/>
            <w:bottom w:w="0" w:type="dxa"/>
            <w:right w:w="108" w:type="dxa"/>
          </w:tblCellMar>
        </w:tblPrEx>
        <w:trPr>
          <w:trHeight w:val="2265" w:hRule="atLeast"/>
        </w:trPr>
        <w:tc>
          <w:tcPr>
            <w:tcW w:w="1080" w:type="dxa"/>
            <w:tcBorders>
              <w:top w:val="nil"/>
              <w:left w:val="single" w:color="auto" w:sz="8" w:space="0"/>
              <w:bottom w:val="single" w:color="auto" w:sz="4"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9</w:t>
            </w:r>
          </w:p>
        </w:tc>
        <w:tc>
          <w:tcPr>
            <w:tcW w:w="1080" w:type="dxa"/>
            <w:tcBorders>
              <w:top w:val="nil"/>
              <w:left w:val="nil"/>
              <w:bottom w:val="single" w:color="auto" w:sz="4"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学生竞赛指导教师</w:t>
            </w:r>
          </w:p>
        </w:tc>
        <w:tc>
          <w:tcPr>
            <w:tcW w:w="3060" w:type="dxa"/>
            <w:tcBorders>
              <w:top w:val="nil"/>
              <w:left w:val="nil"/>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能为学生竞赛活动提供及时、全程、专业的培训和指导。由教务科、学工办等相关部门根据当年竞赛工作实际需要组织并选聘，自主报名与学院推荐相结合，择优录取。</w:t>
            </w:r>
          </w:p>
        </w:tc>
        <w:tc>
          <w:tcPr>
            <w:tcW w:w="1080" w:type="dxa"/>
            <w:tcBorders>
              <w:top w:val="nil"/>
              <w:left w:val="nil"/>
              <w:bottom w:val="single" w:color="auto" w:sz="4"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nil"/>
              <w:left w:val="nil"/>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具备竞赛相关的专业背景和技能，能为学生竞赛活动提供及时、全程、专业的培训和指导。加强竞赛期间对学生的教育和管理，认真落实各项安全措施，保证竞赛的顺利进行。竞赛包括学校组织的学科竞赛、体育竞赛、艺术展演等</w:t>
            </w:r>
          </w:p>
        </w:tc>
        <w:tc>
          <w:tcPr>
            <w:tcW w:w="3240"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10/项+5</w:t>
            </w:r>
          </w:p>
        </w:tc>
        <w:tc>
          <w:tcPr>
            <w:tcW w:w="1080" w:type="dxa"/>
            <w:tcBorders>
              <w:top w:val="nil"/>
              <w:left w:val="nil"/>
              <w:bottom w:val="single" w:color="auto" w:sz="4" w:space="0"/>
              <w:right w:val="nil"/>
            </w:tcBorders>
            <w:shd w:val="clear" w:color="auto" w:fill="auto"/>
            <w:vAlign w:val="center"/>
          </w:tcPr>
          <w:p>
            <w:pPr>
              <w:widowControl/>
              <w:jc w:val="center"/>
              <w:rPr>
                <w:rFonts w:cs="宋体" w:asciiTheme="minorEastAsia" w:hAnsiTheme="minorEastAsia"/>
                <w:kern w:val="0"/>
                <w:sz w:val="22"/>
              </w:rPr>
            </w:pPr>
            <w:r>
              <w:rPr>
                <w:rFonts w:hint="eastAsia" w:cs="宋体" w:asciiTheme="minorEastAsia" w:hAnsiTheme="minorEastAsia"/>
                <w:kern w:val="0"/>
                <w:sz w:val="22"/>
              </w:rPr>
              <w:t>教务科</w:t>
            </w:r>
          </w:p>
          <w:p>
            <w:pPr>
              <w:widowControl/>
              <w:jc w:val="center"/>
              <w:rPr>
                <w:rFonts w:cs="宋体" w:asciiTheme="minorEastAsia" w:hAnsiTheme="minorEastAsia"/>
                <w:kern w:val="0"/>
                <w:sz w:val="22"/>
              </w:rPr>
            </w:pPr>
            <w:r>
              <w:rPr>
                <w:rFonts w:hint="eastAsia" w:cs="宋体" w:asciiTheme="minorEastAsia" w:hAnsiTheme="minorEastAsia"/>
                <w:kern w:val="0"/>
                <w:sz w:val="22"/>
              </w:rPr>
              <w:t>团委</w:t>
            </w:r>
          </w:p>
        </w:tc>
        <w:tc>
          <w:tcPr>
            <w:tcW w:w="1080" w:type="dxa"/>
            <w:tcBorders>
              <w:top w:val="nil"/>
              <w:left w:val="single" w:color="auto" w:sz="8" w:space="0"/>
              <w:bottom w:val="single" w:color="auto" w:sz="4"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获省级以上奖项的每个项目增加5分。</w:t>
            </w:r>
          </w:p>
        </w:tc>
      </w:tr>
      <w:tr>
        <w:tblPrEx>
          <w:tblCellMar>
            <w:top w:w="0" w:type="dxa"/>
            <w:left w:w="108" w:type="dxa"/>
            <w:bottom w:w="0" w:type="dxa"/>
            <w:right w:w="108" w:type="dxa"/>
          </w:tblCellMar>
        </w:tblPrEx>
        <w:trPr>
          <w:trHeight w:val="2265" w:hRule="atLeast"/>
        </w:trPr>
        <w:tc>
          <w:tcPr>
            <w:tcW w:w="1080" w:type="dxa"/>
            <w:tcBorders>
              <w:top w:val="single" w:color="auto" w:sz="4" w:space="0"/>
              <w:left w:val="single" w:color="auto" w:sz="8" w:space="0"/>
              <w:bottom w:val="nil"/>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10</w:t>
            </w:r>
          </w:p>
        </w:tc>
        <w:tc>
          <w:tcPr>
            <w:tcW w:w="1080" w:type="dxa"/>
            <w:tcBorders>
              <w:top w:val="single" w:color="auto" w:sz="4" w:space="0"/>
              <w:left w:val="nil"/>
              <w:bottom w:val="nil"/>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课外育人课堂主讲教师</w:t>
            </w:r>
          </w:p>
        </w:tc>
        <w:tc>
          <w:tcPr>
            <w:tcW w:w="3060" w:type="dxa"/>
            <w:tcBorders>
              <w:top w:val="single" w:color="auto" w:sz="4" w:space="0"/>
              <w:left w:val="nil"/>
              <w:bottom w:val="nil"/>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根据当年活动需要组织开展，以自主报名与部门推荐相结合，择优选聘。</w:t>
            </w:r>
          </w:p>
        </w:tc>
        <w:tc>
          <w:tcPr>
            <w:tcW w:w="1080" w:type="dxa"/>
            <w:tcBorders>
              <w:top w:val="single" w:color="auto" w:sz="4" w:space="0"/>
              <w:left w:val="nil"/>
              <w:bottom w:val="nil"/>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single" w:color="auto" w:sz="4" w:space="0"/>
              <w:left w:val="nil"/>
              <w:bottom w:val="nil"/>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具有坚定的政治立场，在政治上、思想上、行动上和党中央保持一致；理想信念坚定，恪守师德师风，能及时学习、宣传、贯彻党和国家最新的理论、方针、政策等。担任党校、团校等培训或思政教育专题报告、沙龙活动等主讲教师</w:t>
            </w:r>
          </w:p>
        </w:tc>
        <w:tc>
          <w:tcPr>
            <w:tcW w:w="3240" w:type="dxa"/>
            <w:gridSpan w:val="3"/>
            <w:tcBorders>
              <w:top w:val="single" w:color="auto" w:sz="4" w:space="0"/>
              <w:left w:val="nil"/>
              <w:bottom w:val="nil"/>
              <w:right w:val="single" w:color="000000"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3/半天（3课时）</w:t>
            </w:r>
          </w:p>
        </w:tc>
        <w:tc>
          <w:tcPr>
            <w:tcW w:w="1080" w:type="dxa"/>
            <w:tcBorders>
              <w:top w:val="single" w:color="auto" w:sz="4" w:space="0"/>
              <w:left w:val="nil"/>
              <w:bottom w:val="nil"/>
              <w:right w:val="nil"/>
            </w:tcBorders>
            <w:shd w:val="clear" w:color="auto" w:fill="auto"/>
            <w:vAlign w:val="center"/>
          </w:tcPr>
          <w:p>
            <w:pPr>
              <w:widowControl/>
              <w:jc w:val="center"/>
              <w:rPr>
                <w:rFonts w:cs="宋体" w:asciiTheme="minorEastAsia" w:hAnsiTheme="minorEastAsia"/>
                <w:kern w:val="0"/>
                <w:sz w:val="22"/>
              </w:rPr>
            </w:pPr>
            <w:r>
              <w:rPr>
                <w:rFonts w:hint="eastAsia" w:cs="宋体" w:asciiTheme="minorEastAsia" w:hAnsiTheme="minorEastAsia"/>
                <w:kern w:val="0"/>
                <w:sz w:val="22"/>
              </w:rPr>
              <w:t>团委</w:t>
            </w:r>
          </w:p>
          <w:p>
            <w:pPr>
              <w:widowControl/>
              <w:jc w:val="center"/>
              <w:rPr>
                <w:rFonts w:cs="宋体" w:asciiTheme="minorEastAsia" w:hAnsiTheme="minorEastAsia"/>
                <w:kern w:val="0"/>
                <w:sz w:val="22"/>
              </w:rPr>
            </w:pPr>
            <w:r>
              <w:rPr>
                <w:rFonts w:hint="eastAsia" w:cs="宋体" w:asciiTheme="minorEastAsia" w:hAnsiTheme="minorEastAsia"/>
                <w:kern w:val="0"/>
                <w:sz w:val="22"/>
              </w:rPr>
              <w:t>学工办</w:t>
            </w:r>
          </w:p>
          <w:p>
            <w:pPr>
              <w:widowControl/>
              <w:jc w:val="center"/>
              <w:rPr>
                <w:rFonts w:cs="宋体" w:asciiTheme="minorEastAsia" w:hAnsiTheme="minorEastAsia"/>
                <w:kern w:val="0"/>
                <w:sz w:val="22"/>
              </w:rPr>
            </w:pPr>
            <w:r>
              <w:rPr>
                <w:rFonts w:hint="eastAsia" w:cs="宋体" w:asciiTheme="minorEastAsia" w:hAnsiTheme="minorEastAsia"/>
                <w:kern w:val="0"/>
                <w:sz w:val="22"/>
              </w:rPr>
              <w:t>研工办</w:t>
            </w:r>
          </w:p>
          <w:p>
            <w:pPr>
              <w:widowControl/>
              <w:jc w:val="center"/>
              <w:rPr>
                <w:rFonts w:cs="宋体" w:asciiTheme="minorEastAsia" w:hAnsiTheme="minorEastAsia"/>
                <w:kern w:val="0"/>
                <w:sz w:val="22"/>
              </w:rPr>
            </w:pPr>
            <w:r>
              <w:rPr>
                <w:rFonts w:hint="eastAsia" w:cs="宋体" w:asciiTheme="minorEastAsia" w:hAnsiTheme="minorEastAsia"/>
                <w:kern w:val="0"/>
                <w:sz w:val="22"/>
              </w:rPr>
              <w:t>教务科</w:t>
            </w:r>
          </w:p>
        </w:tc>
        <w:tc>
          <w:tcPr>
            <w:tcW w:w="1080" w:type="dxa"/>
            <w:tcBorders>
              <w:top w:val="single" w:color="auto" w:sz="4" w:space="0"/>
              <w:left w:val="single" w:color="auto" w:sz="8" w:space="0"/>
              <w:bottom w:val="nil"/>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　</w:t>
            </w:r>
          </w:p>
        </w:tc>
      </w:tr>
      <w:tr>
        <w:tblPrEx>
          <w:tblCellMar>
            <w:top w:w="0" w:type="dxa"/>
            <w:left w:w="108" w:type="dxa"/>
            <w:bottom w:w="0" w:type="dxa"/>
            <w:right w:w="108" w:type="dxa"/>
          </w:tblCellMar>
        </w:tblPrEx>
        <w:trPr>
          <w:trHeight w:val="1537" w:hRule="atLeast"/>
        </w:trPr>
        <w:tc>
          <w:tcPr>
            <w:tcW w:w="1080" w:type="dxa"/>
            <w:tcBorders>
              <w:top w:val="single" w:color="auto" w:sz="8" w:space="0"/>
              <w:left w:val="single" w:color="auto" w:sz="8" w:space="0"/>
              <w:bottom w:val="single" w:color="auto" w:sz="8" w:space="0"/>
              <w:right w:val="single" w:color="auto" w:sz="8" w:space="0"/>
            </w:tcBorders>
            <w:shd w:val="clear" w:color="auto" w:fill="auto"/>
            <w:noWrap/>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11</w:t>
            </w:r>
          </w:p>
        </w:tc>
        <w:tc>
          <w:tcPr>
            <w:tcW w:w="108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课外活动指导老师</w:t>
            </w:r>
          </w:p>
        </w:tc>
        <w:tc>
          <w:tcPr>
            <w:tcW w:w="3060" w:type="dxa"/>
            <w:tcBorders>
              <w:top w:val="single" w:color="auto" w:sz="8" w:space="0"/>
              <w:left w:val="nil"/>
              <w:bottom w:val="single" w:color="auto" w:sz="8" w:space="0"/>
              <w:right w:val="single" w:color="auto" w:sz="8" w:space="0"/>
            </w:tcBorders>
            <w:shd w:val="clear" w:color="auto" w:fill="auto"/>
            <w:vAlign w:val="center"/>
          </w:tcPr>
          <w:p>
            <w:pPr>
              <w:widowControl/>
              <w:rPr>
                <w:rFonts w:cs="宋体" w:asciiTheme="minorEastAsia" w:hAnsiTheme="minorEastAsia"/>
                <w:color w:val="000000"/>
                <w:kern w:val="0"/>
                <w:sz w:val="22"/>
              </w:rPr>
            </w:pPr>
            <w:r>
              <w:rPr>
                <w:rFonts w:hint="eastAsia" w:cs="宋体" w:asciiTheme="minorEastAsia" w:hAnsiTheme="minorEastAsia"/>
                <w:color w:val="000000"/>
                <w:kern w:val="0"/>
                <w:sz w:val="22"/>
              </w:rPr>
              <w:t>根据当年活动需要组织开展，担任学生非教学活动评审或辅导工作，以自主报名与部门推荐相结合，择优选聘。</w:t>
            </w:r>
          </w:p>
        </w:tc>
        <w:tc>
          <w:tcPr>
            <w:tcW w:w="1080" w:type="dxa"/>
            <w:tcBorders>
              <w:top w:val="single" w:color="auto" w:sz="8" w:space="0"/>
              <w:left w:val="nil"/>
              <w:bottom w:val="single" w:color="auto" w:sz="8" w:space="0"/>
              <w:right w:val="single" w:color="auto"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合格</w:t>
            </w:r>
          </w:p>
        </w:tc>
        <w:tc>
          <w:tcPr>
            <w:tcW w:w="3420" w:type="dxa"/>
            <w:tcBorders>
              <w:top w:val="single" w:color="auto" w:sz="8" w:space="0"/>
              <w:left w:val="nil"/>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需具备活动相关的专业背景。指导或评审学生开展各类校园文化活动和素质提升项目等活动</w:t>
            </w:r>
          </w:p>
        </w:tc>
        <w:tc>
          <w:tcPr>
            <w:tcW w:w="3240" w:type="dxa"/>
            <w:gridSpan w:val="3"/>
            <w:tcBorders>
              <w:top w:val="single" w:color="auto" w:sz="8" w:space="0"/>
              <w:left w:val="nil"/>
              <w:bottom w:val="single" w:color="auto" w:sz="8" w:space="0"/>
              <w:right w:val="single" w:color="000000" w:sz="8" w:space="0"/>
            </w:tcBorders>
            <w:shd w:val="clear" w:color="auto" w:fill="auto"/>
            <w:vAlign w:val="center"/>
          </w:tcPr>
          <w:p>
            <w:pPr>
              <w:widowControl/>
              <w:jc w:val="center"/>
              <w:rPr>
                <w:rFonts w:cs="宋体" w:asciiTheme="minorEastAsia" w:hAnsiTheme="minorEastAsia"/>
                <w:color w:val="000000"/>
                <w:kern w:val="0"/>
                <w:sz w:val="22"/>
              </w:rPr>
            </w:pPr>
            <w:r>
              <w:rPr>
                <w:rFonts w:hint="eastAsia" w:cs="宋体" w:asciiTheme="minorEastAsia" w:hAnsiTheme="minorEastAsia"/>
                <w:color w:val="000000"/>
                <w:kern w:val="0"/>
                <w:sz w:val="22"/>
              </w:rPr>
              <w:t>2/半天</w:t>
            </w:r>
          </w:p>
        </w:tc>
        <w:tc>
          <w:tcPr>
            <w:tcW w:w="1080" w:type="dxa"/>
            <w:tcBorders>
              <w:top w:val="single" w:color="auto" w:sz="8" w:space="0"/>
              <w:left w:val="nil"/>
              <w:bottom w:val="single" w:color="auto" w:sz="8" w:space="0"/>
              <w:right w:val="nil"/>
            </w:tcBorders>
            <w:shd w:val="clear" w:color="auto" w:fill="auto"/>
            <w:vAlign w:val="center"/>
          </w:tcPr>
          <w:p>
            <w:pPr>
              <w:widowControl/>
              <w:jc w:val="center"/>
              <w:rPr>
                <w:rFonts w:cs="宋体" w:asciiTheme="minorEastAsia" w:hAnsiTheme="minorEastAsia"/>
                <w:kern w:val="0"/>
                <w:sz w:val="22"/>
              </w:rPr>
            </w:pPr>
            <w:r>
              <w:rPr>
                <w:rFonts w:hint="eastAsia" w:cs="宋体" w:asciiTheme="minorEastAsia" w:hAnsiTheme="minorEastAsia"/>
                <w:kern w:val="0"/>
                <w:sz w:val="22"/>
              </w:rPr>
              <w:t>团委</w:t>
            </w:r>
          </w:p>
          <w:p>
            <w:pPr>
              <w:widowControl/>
              <w:jc w:val="center"/>
              <w:rPr>
                <w:rFonts w:cs="宋体" w:asciiTheme="minorEastAsia" w:hAnsiTheme="minorEastAsia"/>
                <w:kern w:val="0"/>
                <w:sz w:val="22"/>
              </w:rPr>
            </w:pPr>
            <w:r>
              <w:rPr>
                <w:rFonts w:hint="eastAsia" w:cs="宋体" w:asciiTheme="minorEastAsia" w:hAnsiTheme="minorEastAsia"/>
                <w:kern w:val="0"/>
                <w:sz w:val="22"/>
              </w:rPr>
              <w:t>学工办</w:t>
            </w:r>
          </w:p>
          <w:p>
            <w:pPr>
              <w:widowControl/>
              <w:jc w:val="center"/>
              <w:rPr>
                <w:rFonts w:cs="宋体" w:asciiTheme="minorEastAsia" w:hAnsiTheme="minorEastAsia"/>
                <w:kern w:val="0"/>
                <w:sz w:val="22"/>
              </w:rPr>
            </w:pPr>
            <w:r>
              <w:rPr>
                <w:rFonts w:hint="eastAsia" w:cs="宋体" w:asciiTheme="minorEastAsia" w:hAnsiTheme="minorEastAsia"/>
                <w:kern w:val="0"/>
                <w:sz w:val="22"/>
              </w:rPr>
              <w:t>研工办</w:t>
            </w:r>
          </w:p>
        </w:tc>
        <w:tc>
          <w:tcPr>
            <w:tcW w:w="1080" w:type="dxa"/>
            <w:tcBorders>
              <w:top w:val="single" w:color="auto" w:sz="8" w:space="0"/>
              <w:left w:val="single" w:color="auto" w:sz="8" w:space="0"/>
              <w:bottom w:val="single" w:color="auto" w:sz="8" w:space="0"/>
              <w:right w:val="single" w:color="auto" w:sz="8" w:space="0"/>
            </w:tcBorders>
            <w:shd w:val="clear" w:color="auto" w:fill="auto"/>
            <w:vAlign w:val="center"/>
          </w:tcPr>
          <w:p>
            <w:pPr>
              <w:widowControl/>
              <w:jc w:val="left"/>
              <w:rPr>
                <w:rFonts w:cs="宋体" w:asciiTheme="minorEastAsia" w:hAnsiTheme="minorEastAsia"/>
                <w:color w:val="000000"/>
                <w:kern w:val="0"/>
                <w:sz w:val="22"/>
              </w:rPr>
            </w:pPr>
            <w:r>
              <w:rPr>
                <w:rFonts w:hint="eastAsia" w:cs="宋体" w:asciiTheme="minorEastAsia" w:hAnsiTheme="minorEastAsia"/>
                <w:color w:val="000000"/>
                <w:kern w:val="0"/>
                <w:sz w:val="22"/>
              </w:rPr>
              <w:t>　</w:t>
            </w:r>
          </w:p>
        </w:tc>
      </w:tr>
    </w:tbl>
    <w:p>
      <w:pPr>
        <w:spacing w:line="400" w:lineRule="exact"/>
        <w:rPr>
          <w:b/>
          <w:sz w:val="24"/>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25A6F0D"/>
    <w:rsid w:val="00097D63"/>
    <w:rsid w:val="000C0D3B"/>
    <w:rsid w:val="000D3F03"/>
    <w:rsid w:val="000D7968"/>
    <w:rsid w:val="00174987"/>
    <w:rsid w:val="001E64FB"/>
    <w:rsid w:val="001F715E"/>
    <w:rsid w:val="0021055F"/>
    <w:rsid w:val="00231097"/>
    <w:rsid w:val="00267F5A"/>
    <w:rsid w:val="00280EAC"/>
    <w:rsid w:val="003B7351"/>
    <w:rsid w:val="003E0C9A"/>
    <w:rsid w:val="0049108C"/>
    <w:rsid w:val="00537F3B"/>
    <w:rsid w:val="006C3CED"/>
    <w:rsid w:val="00793365"/>
    <w:rsid w:val="008740DD"/>
    <w:rsid w:val="008C23A0"/>
    <w:rsid w:val="008C2B4F"/>
    <w:rsid w:val="00952924"/>
    <w:rsid w:val="00A74B4E"/>
    <w:rsid w:val="00BF08C6"/>
    <w:rsid w:val="00C17263"/>
    <w:rsid w:val="00C57559"/>
    <w:rsid w:val="00D06CCC"/>
    <w:rsid w:val="00DF0CEF"/>
    <w:rsid w:val="00EA694B"/>
    <w:rsid w:val="00ED71E9"/>
    <w:rsid w:val="00F07E4E"/>
    <w:rsid w:val="00F37BFA"/>
    <w:rsid w:val="00F53975"/>
    <w:rsid w:val="00F8678E"/>
    <w:rsid w:val="01F33FB7"/>
    <w:rsid w:val="0203213B"/>
    <w:rsid w:val="04D12120"/>
    <w:rsid w:val="057151D2"/>
    <w:rsid w:val="06C05EE6"/>
    <w:rsid w:val="07353327"/>
    <w:rsid w:val="0A6D551E"/>
    <w:rsid w:val="0B125267"/>
    <w:rsid w:val="0B270BAF"/>
    <w:rsid w:val="0C3C07E4"/>
    <w:rsid w:val="0F427CB6"/>
    <w:rsid w:val="0F5A7383"/>
    <w:rsid w:val="129138F2"/>
    <w:rsid w:val="19606CC3"/>
    <w:rsid w:val="19A64CA2"/>
    <w:rsid w:val="1ADC7C73"/>
    <w:rsid w:val="1B114B41"/>
    <w:rsid w:val="1C2F2B84"/>
    <w:rsid w:val="1D0D257B"/>
    <w:rsid w:val="1EA76175"/>
    <w:rsid w:val="208D53AF"/>
    <w:rsid w:val="220B6F20"/>
    <w:rsid w:val="22AD4B06"/>
    <w:rsid w:val="23CE3A47"/>
    <w:rsid w:val="24C524C0"/>
    <w:rsid w:val="26CB585A"/>
    <w:rsid w:val="29576481"/>
    <w:rsid w:val="300A62A1"/>
    <w:rsid w:val="30696610"/>
    <w:rsid w:val="31175DC2"/>
    <w:rsid w:val="316C69DB"/>
    <w:rsid w:val="34C2296D"/>
    <w:rsid w:val="353F08D9"/>
    <w:rsid w:val="36184B04"/>
    <w:rsid w:val="36900367"/>
    <w:rsid w:val="36904DDD"/>
    <w:rsid w:val="3AF758A7"/>
    <w:rsid w:val="3EF46C6C"/>
    <w:rsid w:val="417C32A4"/>
    <w:rsid w:val="44835E80"/>
    <w:rsid w:val="486F2EEC"/>
    <w:rsid w:val="49CE33D2"/>
    <w:rsid w:val="4C8011A8"/>
    <w:rsid w:val="4D6607DB"/>
    <w:rsid w:val="525A6F0D"/>
    <w:rsid w:val="53463C54"/>
    <w:rsid w:val="54F241F3"/>
    <w:rsid w:val="584734DA"/>
    <w:rsid w:val="5DDF3B89"/>
    <w:rsid w:val="5E530304"/>
    <w:rsid w:val="5F825C78"/>
    <w:rsid w:val="672D7BB8"/>
    <w:rsid w:val="67BC17AC"/>
    <w:rsid w:val="6A616580"/>
    <w:rsid w:val="6A8E3129"/>
    <w:rsid w:val="6C380C84"/>
    <w:rsid w:val="6C7E25E3"/>
    <w:rsid w:val="6F675249"/>
    <w:rsid w:val="70751081"/>
    <w:rsid w:val="735A07AD"/>
    <w:rsid w:val="735D7E7F"/>
    <w:rsid w:val="75350941"/>
    <w:rsid w:val="775616FB"/>
    <w:rsid w:val="786318C1"/>
    <w:rsid w:val="789E25E2"/>
    <w:rsid w:val="7C754F41"/>
    <w:rsid w:val="7CBC6D06"/>
    <w:rsid w:val="7DA1351B"/>
    <w:rsid w:val="7E1A41E3"/>
    <w:rsid w:val="7FEB64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34"/>
    <w:qFormat/>
    <w:uiPriority w:val="99"/>
    <w:pPr>
      <w:tabs>
        <w:tab w:val="center" w:pos="4153"/>
        <w:tab w:val="right" w:pos="8306"/>
      </w:tabs>
      <w:snapToGrid w:val="0"/>
      <w:jc w:val="left"/>
    </w:pPr>
    <w:rPr>
      <w:sz w:val="18"/>
      <w:szCs w:val="18"/>
    </w:rPr>
  </w:style>
  <w:style w:type="paragraph" w:styleId="3">
    <w:name w:val="header"/>
    <w:basedOn w:val="1"/>
    <w:link w:val="33"/>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kern w:val="0"/>
      <w:sz w:val="24"/>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 w:type="character" w:styleId="9">
    <w:name w:val="FollowedHyperlink"/>
    <w:basedOn w:val="7"/>
    <w:qFormat/>
    <w:uiPriority w:val="0"/>
    <w:rPr>
      <w:color w:val="0088CC"/>
      <w:u w:val="none"/>
    </w:rPr>
  </w:style>
  <w:style w:type="character" w:styleId="10">
    <w:name w:val="Emphasis"/>
    <w:basedOn w:val="7"/>
    <w:qFormat/>
    <w:uiPriority w:val="0"/>
    <w:rPr>
      <w:i/>
    </w:rPr>
  </w:style>
  <w:style w:type="character" w:styleId="11">
    <w:name w:val="HTML Definition"/>
    <w:basedOn w:val="7"/>
    <w:qFormat/>
    <w:uiPriority w:val="0"/>
    <w:rPr>
      <w:i/>
    </w:rPr>
  </w:style>
  <w:style w:type="character" w:styleId="12">
    <w:name w:val="HTML Typewriter"/>
    <w:basedOn w:val="7"/>
    <w:qFormat/>
    <w:uiPriority w:val="0"/>
    <w:rPr>
      <w:rFonts w:hint="default" w:ascii="Consolas" w:hAnsi="Consolas" w:eastAsia="Consolas" w:cs="Consolas"/>
      <w:sz w:val="21"/>
      <w:szCs w:val="21"/>
    </w:rPr>
  </w:style>
  <w:style w:type="character" w:styleId="13">
    <w:name w:val="HTML Acronym"/>
    <w:basedOn w:val="7"/>
    <w:qFormat/>
    <w:uiPriority w:val="0"/>
  </w:style>
  <w:style w:type="character" w:styleId="14">
    <w:name w:val="HTML Variable"/>
    <w:basedOn w:val="7"/>
    <w:qFormat/>
    <w:uiPriority w:val="0"/>
    <w:rPr>
      <w:rFonts w:ascii="Consolas" w:hAnsi="Consolas" w:eastAsia="Consolas" w:cs="Consolas"/>
      <w:i/>
      <w:sz w:val="21"/>
      <w:szCs w:val="21"/>
    </w:rPr>
  </w:style>
  <w:style w:type="character" w:styleId="15">
    <w:name w:val="Hyperlink"/>
    <w:basedOn w:val="7"/>
    <w:qFormat/>
    <w:uiPriority w:val="0"/>
    <w:rPr>
      <w:color w:val="0088CC"/>
      <w:u w:val="none"/>
    </w:rPr>
  </w:style>
  <w:style w:type="character" w:styleId="16">
    <w:name w:val="HTML Code"/>
    <w:basedOn w:val="7"/>
    <w:qFormat/>
    <w:uiPriority w:val="0"/>
    <w:rPr>
      <w:rFonts w:hint="default" w:ascii="Consolas" w:hAnsi="Consolas" w:eastAsia="Consolas" w:cs="Consolas"/>
      <w:sz w:val="21"/>
      <w:szCs w:val="21"/>
    </w:rPr>
  </w:style>
  <w:style w:type="character" w:styleId="17">
    <w:name w:val="HTML Cite"/>
    <w:basedOn w:val="7"/>
    <w:qFormat/>
    <w:uiPriority w:val="0"/>
    <w:rPr>
      <w:i/>
    </w:rPr>
  </w:style>
  <w:style w:type="character" w:styleId="18">
    <w:name w:val="HTML Keyboard"/>
    <w:basedOn w:val="7"/>
    <w:qFormat/>
    <w:uiPriority w:val="0"/>
    <w:rPr>
      <w:rFonts w:hint="default" w:ascii="Consolas" w:hAnsi="Consolas" w:eastAsia="Consolas" w:cs="Consolas"/>
      <w:sz w:val="21"/>
      <w:szCs w:val="21"/>
    </w:rPr>
  </w:style>
  <w:style w:type="character" w:customStyle="1" w:styleId="19">
    <w:name w:val="disabled"/>
    <w:basedOn w:val="7"/>
    <w:qFormat/>
    <w:uiPriority w:val="0"/>
    <w:rPr>
      <w:color w:val="ADAAAD"/>
    </w:rPr>
  </w:style>
  <w:style w:type="character" w:customStyle="1" w:styleId="20">
    <w:name w:val="hover43"/>
    <w:basedOn w:val="7"/>
    <w:qFormat/>
    <w:uiPriority w:val="0"/>
    <w:rPr>
      <w:color w:val="FFFFFF"/>
      <w:shd w:val="clear" w:color="auto" w:fill="444444"/>
    </w:rPr>
  </w:style>
  <w:style w:type="character" w:customStyle="1" w:styleId="21">
    <w:name w:val="hover44"/>
    <w:basedOn w:val="7"/>
    <w:qFormat/>
    <w:uiPriority w:val="0"/>
    <w:rPr>
      <w:shd w:val="clear" w:color="auto" w:fill="000000"/>
    </w:rPr>
  </w:style>
  <w:style w:type="character" w:customStyle="1" w:styleId="22">
    <w:name w:val="pages"/>
    <w:basedOn w:val="7"/>
    <w:qFormat/>
    <w:uiPriority w:val="0"/>
    <w:rPr>
      <w:color w:val="555555"/>
    </w:rPr>
  </w:style>
  <w:style w:type="character" w:customStyle="1" w:styleId="23">
    <w:name w:val="pages1"/>
    <w:basedOn w:val="7"/>
    <w:qFormat/>
    <w:uiPriority w:val="0"/>
    <w:rPr>
      <w:color w:val="555555"/>
    </w:rPr>
  </w:style>
  <w:style w:type="character" w:customStyle="1" w:styleId="24">
    <w:name w:val="pages2"/>
    <w:basedOn w:val="7"/>
    <w:qFormat/>
    <w:uiPriority w:val="0"/>
    <w:rPr>
      <w:color w:val="666666"/>
      <w:sz w:val="18"/>
      <w:szCs w:val="18"/>
      <w:u w:val="none"/>
      <w:bdr w:val="single" w:color="DEDFDE" w:sz="6" w:space="0"/>
    </w:rPr>
  </w:style>
  <w:style w:type="character" w:customStyle="1" w:styleId="25">
    <w:name w:val="current"/>
    <w:basedOn w:val="7"/>
    <w:qFormat/>
    <w:uiPriority w:val="0"/>
    <w:rPr>
      <w:color w:val="FFFFFF"/>
      <w:shd w:val="clear" w:color="auto" w:fill="444444"/>
    </w:rPr>
  </w:style>
  <w:style w:type="character" w:customStyle="1" w:styleId="26">
    <w:name w:val="current1"/>
    <w:basedOn w:val="7"/>
    <w:qFormat/>
    <w:uiPriority w:val="0"/>
    <w:rPr>
      <w:b/>
      <w:color w:val="01BCA5"/>
      <w:sz w:val="18"/>
      <w:szCs w:val="18"/>
      <w:bdr w:val="single" w:color="DEDFDE" w:sz="6" w:space="0"/>
    </w:rPr>
  </w:style>
  <w:style w:type="character" w:customStyle="1" w:styleId="27">
    <w:name w:val="dots"/>
    <w:basedOn w:val="7"/>
    <w:qFormat/>
    <w:uiPriority w:val="0"/>
    <w:rPr>
      <w:color w:val="666666"/>
      <w:sz w:val="18"/>
      <w:szCs w:val="18"/>
      <w:u w:val="none"/>
      <w:bdr w:val="single" w:color="DEDFDE" w:sz="6" w:space="0"/>
    </w:rPr>
  </w:style>
  <w:style w:type="character" w:customStyle="1" w:styleId="28">
    <w:name w:val="hover42"/>
    <w:basedOn w:val="7"/>
    <w:qFormat/>
    <w:uiPriority w:val="0"/>
    <w:rPr>
      <w:shd w:val="clear" w:color="auto" w:fill="000000"/>
    </w:rPr>
  </w:style>
  <w:style w:type="character" w:customStyle="1" w:styleId="29">
    <w:name w:val="font41"/>
    <w:basedOn w:val="7"/>
    <w:qFormat/>
    <w:uiPriority w:val="0"/>
    <w:rPr>
      <w:rFonts w:ascii="宋体" w:hAnsi="宋体" w:eastAsia="宋体" w:cs="宋体"/>
      <w:b/>
      <w:color w:val="000000"/>
      <w:sz w:val="22"/>
      <w:szCs w:val="22"/>
      <w:u w:val="none"/>
    </w:rPr>
  </w:style>
  <w:style w:type="character" w:customStyle="1" w:styleId="30">
    <w:name w:val="font71"/>
    <w:basedOn w:val="7"/>
    <w:qFormat/>
    <w:uiPriority w:val="0"/>
    <w:rPr>
      <w:rFonts w:ascii="宋体" w:hAnsi="宋体" w:eastAsia="宋体" w:cs="宋体"/>
      <w:b/>
      <w:color w:val="000000"/>
      <w:sz w:val="22"/>
      <w:szCs w:val="22"/>
      <w:u w:val="none"/>
    </w:rPr>
  </w:style>
  <w:style w:type="character" w:customStyle="1" w:styleId="31">
    <w:name w:val="font01"/>
    <w:basedOn w:val="7"/>
    <w:qFormat/>
    <w:uiPriority w:val="0"/>
    <w:rPr>
      <w:rFonts w:ascii="Calibri" w:hAnsi="Calibri" w:cs="Calibri"/>
      <w:color w:val="000000"/>
      <w:sz w:val="22"/>
      <w:szCs w:val="22"/>
      <w:u w:val="none"/>
    </w:rPr>
  </w:style>
  <w:style w:type="paragraph" w:styleId="32">
    <w:name w:val="List Paragraph"/>
    <w:basedOn w:val="1"/>
    <w:unhideWhenUsed/>
    <w:qFormat/>
    <w:uiPriority w:val="99"/>
    <w:pPr>
      <w:ind w:firstLine="420" w:firstLineChars="200"/>
    </w:pPr>
  </w:style>
  <w:style w:type="character" w:customStyle="1" w:styleId="33">
    <w:name w:val="页眉 Char"/>
    <w:basedOn w:val="7"/>
    <w:link w:val="3"/>
    <w:qFormat/>
    <w:uiPriority w:val="0"/>
    <w:rPr>
      <w:rFonts w:ascii="Calibri" w:hAnsi="Calibri"/>
      <w:kern w:val="2"/>
      <w:sz w:val="18"/>
      <w:szCs w:val="18"/>
    </w:rPr>
  </w:style>
  <w:style w:type="character" w:customStyle="1" w:styleId="34">
    <w:name w:val="页脚 Char"/>
    <w:basedOn w:val="7"/>
    <w:link w:val="2"/>
    <w:qFormat/>
    <w:uiPriority w:val="99"/>
    <w:rPr>
      <w:rFonts w:ascii="Calibri" w:hAnsi="Calibri"/>
      <w:kern w:val="2"/>
      <w:sz w:val="18"/>
      <w:szCs w:val="18"/>
    </w:rPr>
  </w:style>
  <w:style w:type="paragraph" w:customStyle="1" w:styleId="35">
    <w:name w:val="Default"/>
    <w:qFormat/>
    <w:uiPriority w:val="0"/>
    <w:pPr>
      <w:widowControl w:val="0"/>
      <w:autoSpaceDE w:val="0"/>
      <w:autoSpaceDN w:val="0"/>
      <w:adjustRightInd w:val="0"/>
    </w:pPr>
    <w:rPr>
      <w:rFonts w:ascii="仿宋" w:hAnsi="仿宋" w:cs="仿宋" w:eastAsiaTheme="minorEastAsia"/>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杭州师范大学</Company>
  <Pages>9</Pages>
  <Words>596</Words>
  <Characters>3402</Characters>
  <Lines>28</Lines>
  <Paragraphs>7</Paragraphs>
  <TotalTime>8</TotalTime>
  <ScaleCrop>false</ScaleCrop>
  <LinksUpToDate>false</LinksUpToDate>
  <CharactersWithSpaces>3991</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2019-10-13T01:46:00Z</dcterms:created>
  <dc:creator>Administrator</dc:creator>
  <cp:lastModifiedBy>All in all.</cp:lastModifiedBy>
  <dcterms:modified xsi:type="dcterms:W3CDTF">2021-10-05T15:40:56Z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C508CE4F894F45279C96060645B46337</vt:lpwstr>
  </property>
</Properties>
</file>